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color w:val="000000" w:themeColor="text1"/>
          <w:spacing w:val="76"/>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pacing w:val="76"/>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color w:val="000000" w:themeColor="text1"/>
          <w:spacing w:val="76"/>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pacing w:val="76"/>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color w:val="000000" w:themeColor="text1"/>
          <w:spacing w:val="76"/>
          <w:sz w:val="84"/>
          <w:szCs w:val="84"/>
          <w:highlight w:val="none"/>
          <w14:textFill>
            <w14:solidFill>
              <w14:schemeClr w14:val="tx1"/>
            </w14:solidFill>
          </w14:textFill>
        </w:rPr>
      </w:pPr>
      <w:r>
        <w:rPr>
          <w:rFonts w:hint="eastAsia" w:asciiTheme="minorEastAsia" w:hAnsiTheme="minorEastAsia" w:eastAsiaTheme="minorEastAsia" w:cstheme="minorEastAsia"/>
          <w:b/>
          <w:color w:val="000000" w:themeColor="text1"/>
          <w:spacing w:val="76"/>
          <w:sz w:val="84"/>
          <w:szCs w:val="8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color w:val="000000" w:themeColor="text1"/>
          <w:spacing w:val="76"/>
          <w:sz w:val="84"/>
          <w:szCs w:val="84"/>
          <w:highlight w:val="none"/>
          <w14:textFill>
            <w14:solidFill>
              <w14:schemeClr w14:val="tx1"/>
            </w14:solidFill>
          </w14:textFill>
        </w:rPr>
      </w:pPr>
      <w:r>
        <w:rPr>
          <w:rFonts w:hint="eastAsia" w:asciiTheme="minorEastAsia" w:hAnsiTheme="minorEastAsia" w:eastAsiaTheme="minorEastAsia" w:cstheme="minorEastAsia"/>
          <w:b/>
          <w:color w:val="000000" w:themeColor="text1"/>
          <w:spacing w:val="76"/>
          <w:sz w:val="84"/>
          <w:szCs w:val="84"/>
          <w:highlight w:val="none"/>
          <w14:textFill>
            <w14:solidFill>
              <w14:schemeClr w14:val="tx1"/>
            </w14:solidFill>
          </w14:textFill>
        </w:rPr>
        <w:t xml:space="preserve">招标文件</w:t>
      </w:r>
      <w:r/>
    </w:p>
    <w:p>
      <w:pP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ind w:left="0" w:firstLine="1260"/>
        <w:keepLines w:val="0"/>
        <w:keepNext w:val="0"/>
        <w:pageBreakBefore w:val="0"/>
        <w:spacing w:line="480" w:lineRule="auto"/>
        <w:widowControl w:val="off"/>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JSZC-320300-JSKJ-G2025-0079</w:t>
      </w:r>
      <w:r/>
    </w:p>
    <w:p>
      <w:pPr>
        <w:ind w:left="0" w:firstLine="1260"/>
        <w:keepLines w:val="0"/>
        <w:keepNext w:val="0"/>
        <w:pageBreakBefore w:val="0"/>
        <w:spacing w:line="480" w:lineRule="auto"/>
        <w:widowControl w:val="off"/>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徐州市公安局刑侦支队新警犬基地食堂服务</w:t>
      </w:r>
      <w:r/>
    </w:p>
    <w:p>
      <w:pPr>
        <w:ind w:left="0" w:firstLine="1260"/>
        <w:keepLines w:val="0"/>
        <w:keepNext w:val="0"/>
        <w:pageBreakBefore w:val="0"/>
        <w:spacing w:line="480" w:lineRule="auto"/>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 xml:space="preserve">招 标 人</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徐州市公安局刑事侦查支队</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762500" cy="685800"/>
                <wp:effectExtent l="0" t="0" r="0" b="0"/>
                <wp:docPr id="11" name="图片 13"/>
                <wp:cNvGraphicFramePr/>
                <a:graphic xmlns:a="http://schemas.openxmlformats.org/drawingml/2006/main">
                  <a:graphicData uri="http://schemas.openxmlformats.org/drawingml/2006/picture">
                    <pic:pic xmlns:pic="http://schemas.openxmlformats.org/drawingml/2006/picture">
                      <pic:nvPicPr>
                        <pic:cNvPr id="11" name="图片 13"/>
                        <pic:cNvPicPr/>
                        <pic:nvPr/>
                      </pic:nvPicPr>
                      <pic:blipFill>
                        <a:blip r:embed="rId23"/>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5.0pt;height:54.0pt;mso-wrap-distance-left:0.0pt;mso-wrap-distance-top:0.0pt;mso-wrap-distance-right:0.0pt;mso-wrap-distance-bottom:0.0pt;" stroked="f">
                <v:path textboxrect="0,0,0,0"/>
                <v:imagedata r:id="rId23" o:title=""/>
              </v:shape>
            </w:pict>
          </mc:Fallback>
        </mc:AlternateContent>
      </w:r>
      <w:r/>
    </w:p>
    <w:p>
      <w:pPr>
        <w:jc w:val="cente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sectPr>
          <w:headerReference w:type="default" r:id="rId9"/>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t xml:space="preserve">二〇二五年</w:t>
      </w:r>
      <w:r>
        <w:rPr>
          <w:rFonts w:hint="eastAsia" w:asciiTheme="minorEastAsia" w:hAnsiTheme="minorEastAsia" w:eastAsiaTheme="minorEastAsia" w:cstheme="minorEastAsia"/>
          <w:bCs/>
          <w:color w:val="000000" w:themeColor="text1"/>
          <w:sz w:val="28"/>
          <w:szCs w:val="28"/>
          <w:highlight w:val="none"/>
          <w:lang w:val="en-US" w:eastAsia="zh-CN"/>
          <w14:textFill>
            <w14:solidFill>
              <w14:schemeClr w14:val="tx1"/>
            </w14:solidFill>
          </w14:textFill>
        </w:rPr>
        <w:t xml:space="preserve">十二</w: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t xml:space="preserve">月</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目录</w:t>
      </w:r>
      <w:r/>
    </w:p>
    <w:p>
      <w:pPr>
        <w:pStyle w:val="1019"/>
        <w:keepLines w:val="0"/>
        <w:keepNext w:val="0"/>
        <w:pageBreakBefore w:val="0"/>
        <w:spacing w:line="360" w:lineRule="auto"/>
        <w:widowControl w:val="off"/>
        <w:tabs>
          <w:tab w:val="right" w:pos="9746" w:leader="dot"/>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TOC \o "1-1" \h \u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\l _Toc8354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第一章  投标邀请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PAGEREF _Toc8354 \h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p>
    <w:p>
      <w:pPr>
        <w:pStyle w:val="1019"/>
        <w:keepLines w:val="0"/>
        <w:keepNext w:val="0"/>
        <w:pageBreakBefore w:val="0"/>
        <w:spacing w:line="360" w:lineRule="auto"/>
        <w:widowControl w:val="off"/>
        <w:tabs>
          <w:tab w:val="right" w:pos="9746" w:leader="dot"/>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\l _Toc8775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第二章  投标人须知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PAGEREF _Toc8775 \h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p>
    <w:p>
      <w:pPr>
        <w:pStyle w:val="1019"/>
        <w:keepLines w:val="0"/>
        <w:keepNext w:val="0"/>
        <w:pageBreakBefore w:val="0"/>
        <w:spacing w:line="360" w:lineRule="auto"/>
        <w:widowControl w:val="off"/>
        <w:tabs>
          <w:tab w:val="right" w:pos="9746" w:leader="dot"/>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\l _Toc14684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第三章  投标资料表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PAGEREF _Toc14684 \h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p>
    <w:p>
      <w:pPr>
        <w:pStyle w:val="1019"/>
        <w:keepLines w:val="0"/>
        <w:keepNext w:val="0"/>
        <w:pageBreakBefore w:val="0"/>
        <w:spacing w:line="360" w:lineRule="auto"/>
        <w:widowControl w:val="off"/>
        <w:tabs>
          <w:tab w:val="right" w:pos="9746" w:leader="dot"/>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\l _Toc4987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第四章</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评标标准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PAGEREF _Toc4987 \h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p>
    <w:p>
      <w:pPr>
        <w:pStyle w:val="1019"/>
        <w:keepLines w:val="0"/>
        <w:keepNext w:val="0"/>
        <w:pageBreakBefore w:val="0"/>
        <w:spacing w:line="360" w:lineRule="auto"/>
        <w:widowControl w:val="off"/>
        <w:tabs>
          <w:tab w:val="right" w:pos="9746" w:leader="dot"/>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\l _Toc3254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第五章  采购需求</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PAGEREF _Toc3254 \h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p>
    <w:p>
      <w:pPr>
        <w:pStyle w:val="1019"/>
        <w:keepLines w:val="0"/>
        <w:keepNext w:val="0"/>
        <w:pageBreakBefore w:val="0"/>
        <w:spacing w:line="360" w:lineRule="auto"/>
        <w:widowControl w:val="off"/>
        <w:tabs>
          <w:tab w:val="right" w:pos="9746" w:leader="dot"/>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\l _Toc5392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第六章  拟签订的合同文本</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PAGEREF _Toc5392 \h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p>
    <w:p>
      <w:pPr>
        <w:pStyle w:val="1019"/>
        <w:keepLines w:val="0"/>
        <w:keepNext w:val="0"/>
        <w:pageBreakBefore w:val="0"/>
        <w:spacing w:line="360" w:lineRule="auto"/>
        <w:widowControl w:val="off"/>
        <w:tabs>
          <w:tab w:val="right" w:pos="9746" w:leader="dot"/>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\l _Toc19130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第七章  投标文件相关格式</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PAGEREF _Toc19130 \h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p>
    <w:p>
      <w:pPr>
        <w:pStyle w:val="1117"/>
        <w:keepLines w:val="0"/>
        <w:keepNext w:val="0"/>
        <w:pageBreakBefore w:val="0"/>
        <w:spacing w:before="0"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徐州市公安局刑事侦查支队</w:t>
      </w:r>
      <w:r/>
    </w:p>
    <w:p>
      <w:pPr>
        <w:pStyle w:val="1207"/>
        <w:ind w:left="0" w:right="0" w:firstLine="0"/>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徐州市公安局刑侦支队新警犬基地食堂服务</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p>
    <w:p>
      <w:pPr>
        <w:pStyle w:val="1207"/>
        <w:ind w:left="0" w:right="0" w:firstLine="0"/>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0"/>
      </w:pPr>
      <w:r/>
      <w:bookmarkStart w:id="0" w:name="_Toc29197"/>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招标文件</w:t>
      </w:r>
      <w:bookmarkEnd w:id="0"/>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0"/>
      </w:pPr>
      <w:r/>
      <w:bookmarkStart w:id="1" w:name="_Toc8354"/>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第一章  投标邀请</w:t>
      </w:r>
      <w:bookmarkEnd w:id="1"/>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江苏科建工程项目管理有限公司</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对</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 xml:space="preserve">徐州市公安局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 xml:space="preserve">徐州市公安局刑侦支队新警犬基地食堂服务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进行公开招标采购，现欢迎符合相关条件的投标人投标。</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一、项目名称和项目编号</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1、项目名称：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徐州市公安局刑侦支队新警犬基地食堂服务</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2、项目编号：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JSZC-320300-JSKJ-G2025-0079</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二、投标人的资格要求：</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详见本项目公开招标公告。</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三、获取招标文件</w:t>
      </w:r>
      <w:r/>
    </w:p>
    <w:p>
      <w:pPr>
        <w:pStyle w:val="1153"/>
        <w:ind w:firstLine="480"/>
        <w:jc w:val="left"/>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（1）潜在供应商访问电子招标投标交易平台的网络地址和方法：</w:t>
      </w:r>
      <w:r/>
    </w:p>
    <w:p>
      <w:pPr>
        <w:pStyle w:val="1153"/>
        <w:ind w:firstLine="480"/>
        <w:jc w:val="left"/>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①登录http://jszfcg.jsczt.cn/，或进入徐州政府采购网--业务工作--用户登录，点击“苏采云”进入系统。</w:t>
      </w:r>
      <w:r/>
    </w:p>
    <w:p>
      <w:pPr>
        <w:pStyle w:val="1153"/>
        <w:ind w:firstLine="480"/>
        <w:jc w:val="left"/>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153"/>
        <w:ind w:firstLine="480"/>
        <w:jc w:val="left"/>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（2）采购代理机构将数据电文形式的招标文件加载至“苏采云”系统，供潜在供应商下载或者查阅。</w:t>
      </w:r>
      <w:r/>
    </w:p>
    <w:p>
      <w:pPr>
        <w:pStyle w:val="1153"/>
        <w:ind w:firstLine="480"/>
        <w:jc w:val="left"/>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（3）售价：免费。</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四、投标有关信息：</w:t>
      </w:r>
      <w:r/>
    </w:p>
    <w:p>
      <w:pPr>
        <w:ind w:left="479" w:firstLine="206"/>
        <w:jc w:val="left"/>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1.投标截止时间：</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2026</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年</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01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月21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日09点30分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（北京时间）</w:t>
      </w:r>
      <w:r/>
    </w:p>
    <w:p>
      <w:pPr>
        <w:ind w:left="479" w:firstLine="206"/>
        <w:jc w:val="left"/>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2.开标时间：</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2026</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 xml:space="preserve">年</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01</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 xml:space="preserve">月21日</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09点30分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（北京时间）</w:t>
      </w:r>
      <w:r/>
    </w:p>
    <w:p>
      <w:pPr>
        <w:ind w:left="0" w:firstLine="638"/>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3.线上开标地点：线上开标地点：“苏采云”系统（网址：http://jszfcg.jsczt.cn/）“开标大厅”或进入徐州政府采购网（网址： http://czj.xz.gov.cn/Home/HomeIndex）--业务工作--用户登录，点击“苏采云”进入系统“开标大厅”。</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五、公告发布媒介：</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在徐州政府采购网（http://218.3.177.171:8088/Home/HomeIndex）上发布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六、采购人</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1.采购人：徐州市公安局刑事侦查支队</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2.地址：</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徐州市云龙区太行路9号</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3.项目联系人：</w:t>
      </w:r>
      <w:r>
        <w:rPr>
          <w:rFonts w:hint="eastAsia" w:asciiTheme="minorEastAsia" w:hAnsiTheme="minorEastAsia" w:eastAsiaTheme="minorEastAsia" w:cstheme="minorEastAsia"/>
          <w:i w:val="0"/>
          <w:iCs w:val="0"/>
          <w:caps w:val="0"/>
          <w:color w:val="000000" w:themeColor="text1"/>
          <w:spacing w:val="0"/>
          <w:sz w:val="24"/>
          <w:szCs w:val="24"/>
          <w:highlight w:val="none"/>
          <w:lang w:val="en-US" w:eastAsia="zh-CN"/>
          <w14:textFill>
            <w14:solidFill>
              <w14:schemeClr w14:val="tx1"/>
            </w14:solidFill>
          </w14:textFill>
        </w:rPr>
        <w:t xml:space="preserve">刘伟</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4.联系方式：</w:t>
      </w:r>
      <w:r>
        <w:rPr>
          <w:rFonts w:hint="eastAsia" w:asciiTheme="minorEastAsia" w:hAnsiTheme="minorEastAsia" w:eastAsiaTheme="minorEastAsia" w:cstheme="minorEastAsia"/>
          <w:i w:val="0"/>
          <w:iCs w:val="0"/>
          <w:caps w:val="0"/>
          <w:color w:val="000000" w:themeColor="text1"/>
          <w:spacing w:val="0"/>
          <w:sz w:val="24"/>
          <w:szCs w:val="24"/>
          <w:highlight w:val="none"/>
          <w:lang w:val="en-US" w:eastAsia="zh-CN"/>
          <w14:textFill>
            <w14:solidFill>
              <w14:schemeClr w14:val="tx1"/>
            </w14:solidFill>
          </w14:textFill>
        </w:rPr>
        <w:t xml:space="preserve">13852154821</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七、采购代理机构</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1.名称：江苏科建工程项目管理有限公司</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2.地址：徐州市泉山区软件园路2号</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3.采购项目联系人：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夏菲、朱文颖</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4.联系方式：0516-85610680</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0"/>
      </w:pPr>
      <w:r/>
      <w:bookmarkStart w:id="2" w:name="_Toc8775"/>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第二章  投标人须知</w:t>
      </w:r>
      <w:bookmarkEnd w:id="2"/>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目录</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一、总则</w:t>
      </w:r>
      <w:r/>
    </w:p>
    <w:p>
      <w:pPr>
        <w:ind w:firstLine="19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二、招标</w:t>
      </w:r>
      <w:r/>
    </w:p>
    <w:p>
      <w:pPr>
        <w:ind w:firstLine="19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三、投标</w:t>
      </w:r>
      <w:r/>
    </w:p>
    <w:p>
      <w:pPr>
        <w:ind w:firstLine="19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四、开标</w:t>
      </w:r>
      <w:r/>
    </w:p>
    <w:p>
      <w:pPr>
        <w:ind w:firstLine="19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五、评标</w:t>
      </w:r>
      <w:r/>
    </w:p>
    <w:p>
      <w:pPr>
        <w:ind w:firstLine="19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六、定标</w:t>
      </w:r>
      <w:r/>
    </w:p>
    <w:p>
      <w:pPr>
        <w:ind w:firstLine="19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七、政府采购合同</w:t>
      </w:r>
      <w:r/>
    </w:p>
    <w:p>
      <w:pPr>
        <w:ind w:firstLine="19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八、询问和质疑</w:t>
      </w:r>
      <w:r/>
    </w:p>
    <w:p>
      <w:pPr>
        <w:ind w:firstLine="19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九、电子招标投标交易平台</w:t>
      </w:r>
      <w:r/>
    </w:p>
    <w:p>
      <w:pPr>
        <w:jc w:val="center"/>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一、总则</w:t>
      </w:r>
      <w:r/>
    </w:p>
    <w:p>
      <w:pPr>
        <w:ind w:firstLine="42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（一）采购人。采购人是指依法进行政府采购的国家机关、事业单位、团体组织。</w:t>
      </w:r>
      <w:r/>
    </w:p>
    <w:p>
      <w:pPr>
        <w:ind w:firstLine="42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（二）政府采购方式。政府采购货物或者服务（以下简称“货物服务”）招标分为公开招标和邀请招标。</w:t>
      </w:r>
      <w:r/>
    </w:p>
    <w:p>
      <w:pPr>
        <w:ind w:firstLine="42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（三）采购人应当在货物服务招标投标活动中落实节约能源、保护环境、扶持不发达地区和少数民族地区、促进中小企业发展等政府采购政策。</w:t>
      </w:r>
      <w:r/>
    </w:p>
    <w:p>
      <w:pPr>
        <w:ind w:firstLine="42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（六）投标人的资格条件</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jc w:val="center"/>
        <w:spacing w:line="336"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二、招标</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（八）招标文件的内容</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1.招标文件包括以下内容：</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第一章 投标邀请</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第二章 投标人须知</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第三章 投标资料表</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第四章 评标标准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第五章 拟签订的合同文本</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第六章 采购需求</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第七章 投标文件相关格式</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3.样品 本项目对样品的要求：见招标文件第三章《投标资料表》。</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（九）招标文件澄清或者修改</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2.现场考察以招标文件第三章《投标资料表》中的要求为准。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3.开标前答疑会以招标文件第三章《投标资料表》中的要求为准。</w:t>
      </w:r>
      <w:r/>
    </w:p>
    <w:p>
      <w:pPr>
        <w:jc w:val="center"/>
        <w:spacing w:line="336"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三、投标</w:t>
      </w:r>
      <w:r/>
    </w:p>
    <w:p>
      <w:pPr>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（十）投标人应当按照招标文件的要求编制投标文件。投标文件应对招标文件提出的要求和条件作出实质性响应。</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（十一）投标文件的语言。投标文件以及投标人与采购代理机构就有关投标的往来函电均应使用招标文件第三章《投标资料表》规定的语言书写，否则无效。</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（十二）投标文件的构成</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1.投标文件的构成以招标文件第三章《投标资料表》中的要求为准。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2.投标人应当提交的资格、资信证明文件：以招标文件第三章《投标资料表》中的要求为准。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1.投标函和价格表：要求见本章12、13，格式见招标文件第七章《投标文件相关格式》中《投标函》和《开标一览表》。</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2.商务条件：以招标文件第三章《投标资料表》中的要求为准。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3.交货和提供服务的时间：以招标文件第三章《投标资料表》中的要求为准。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（十四）投标报价要求</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1.投标人应按照招标文件的要求报出分项价格和总价。</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3.采购人不支付报价以外的任何费用。</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（十五）投标货币。以招标文件第三章《投标资料表》中的要求为准。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（十六）投标有效期</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1.投标有效期为开标之日后90天。采购人可以要求对投标有效期延长一次，但该延长期最长不超过30天。</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（十七）本项目为电子投标，电子投标文件编制要求和签署要求：</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（1）电子招标投标交易平台（即“苏采云”系统）相关要求是本招标文件的组成部分。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（3）投标人应对CA证书妥善保管，如被他人盗用投标，因此带来的结果均由投标人自行承担。</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（5）投标人应对要求提供的资格证明文件（如资质证书、资格证书）、技术资料（如白皮书、彩页、手册、检测报告等）扫描上传至投标系统。</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（6）投标文件的份数：详见招标文件第三章《投标资料表》。</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（7）投标文件的退还：详见招标文件第三章《投标资料表》。</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（8）投标文件中承诺的投标有效期应当不少于招标文件中载明的投标有效期。</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（十八）线上投标文件的密封、签署、盖章要求：以本文件第三章《投标资料表》中所提要求为准。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（十九）投标文件递交要求：</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2、各投标人应在规定时间内通过CA证书进行网上解密，投标人未在规定时间内解密电子投标文件的，所导致的一切后果均由投标人承担。</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（二十）提交投标文件的截止时间（投标截止时间）</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在招标文件要求提交投标文件的截止时间之后送达的投标文件，为无效投标文件，采购代理机构应当拒收。</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（二十一）提交投标文件的截止时间和收到投标文件后注意事项：</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投标人在投标截止时间前，可以对所递交的投标文件进行补充、修改或者撤回。</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（二十二）本项目不允许分包。</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2"/>
        <w:jc w:val="left"/>
        <w:spacing w:line="336"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（二十四）有下列情形之一的，其投标无效：</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1.不同投标人委托同一单位或者个人办理投标事宜的；</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2.不同投标人的投标文件中，所载明的项目管理成员或联系人为同一人；</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3.不同投标人的投标文件，异常一致或者投标报价呈规律性差异；</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5.不同投标人的单位负责人为同一人或者存在直接控股、管理关系的；</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7.投标文件未按招标文件规定的内容和要求填写的；</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8.投标文件未按招标文件要求签署、盖章的；</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9.不具备招标文件中规定的资格要求或未按招标文件规定的要求提供资格、资信证明文件的；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10.项目（标段）投标总价超过本项目（标段）预算或最高限价的；</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11.投标文件含有采购人不能接受的附加条件的；</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12.投标人的法定代表人授权代表，无法定代表人授权委托书的；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13.被列入“信用中国”网站（www.creditchina.gov.cn）失信被执行人、重大税收违法案件 当事人名单、政府采购严重违法失信行为记录名单的；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14.投标文件中有招标文件未允许提供的选择性内容；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15.提供虚假材料的（包括工商营业执照、财务报表、资格证明文件等）；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17.除单一来源采购项目外，为采购项目提供整体设计、规范编制或者项目管理、监理、检测等服务的；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18.投标文件内容不全或不符合招标文件中规定的其它实质性要求的；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19.与招标文件提供的采购清单中的项目名称、项目特征（技术参数）、计量单位、数量不一致的；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20.不同投标人的投标资料相互混装、不同投标人的委托代理人、项目负责人以及其他相关人员有在同一个单位缴纳社会保险、同一投标文件中单位名称落款与公章不是同一单位的；</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21.电子投标文件未按规定期限和地址递交的；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22.电子投标文件未按招标文件要求签章的；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23.投标人未在规定时间内解密电子投标文件的； </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24.投标文件未按招标文件规定的内容和要求填写的；</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25.法律法规和招标文件规定的其它无效情形。 </w:t>
      </w:r>
      <w:r/>
    </w:p>
    <w:p>
      <w:pPr>
        <w:jc w:val="center"/>
        <w:spacing w:line="336"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四、开标</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（二十五）开标：</w:t>
      </w:r>
      <w:r/>
    </w:p>
    <w:p>
      <w:pPr>
        <w:ind w:firstLine="48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1.请投标人准备CA锁在开标时间前登录参加，所有投标单位凭 CA 证书在到达开标时间时，解密各自投标文件。</w:t>
      </w:r>
      <w:r/>
    </w:p>
    <w:p>
      <w:pPr>
        <w:ind w:firstLine="48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2.开标由工作人员操作系统进行开标、并宣读各投标人的《开标一览表》。</w:t>
      </w:r>
      <w:r/>
    </w:p>
    <w:p>
      <w:pPr>
        <w:ind w:firstLine="48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3.开标时递交投标文件的投标人不足三家，不予开标。</w:t>
      </w:r>
      <w:r/>
    </w:p>
    <w:p>
      <w:pPr>
        <w:ind w:firstLine="48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4.开标过程由采购代理机构负责记录。</w:t>
      </w:r>
      <w:r/>
    </w:p>
    <w:p>
      <w:pPr>
        <w:ind w:firstLine="48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5.投标人代表对开标过程和开标记录有疑义的，或者认为采购人、采购代理机构相关工作人员有需要回避情形的，应当场提出询问或者提出回避申请。</w:t>
      </w:r>
      <w:r/>
    </w:p>
    <w:p>
      <w:pPr>
        <w:ind w:firstLine="48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6.投标人未参加开标的，视同认可开标结果。</w:t>
      </w:r>
      <w:r/>
    </w:p>
    <w:p>
      <w:pPr>
        <w:jc w:val="center"/>
        <w:spacing w:line="336"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五、评标</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1.评标工作由采购代理机构负责组织，并履行下列职责：</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（2）宣布评标纪律；</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（3）公布投标人名单，告知评审专家应当回避的情形；</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（4）组织评标委员会推选评标组长，采购人代表不得担任组长；</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（5）在评标期间采取必要的通讯管理措施，保证评标活动不受外界干扰；</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（6）根据评标委员会的要求介绍政府采购相关政策法规、招标文件；</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（8）核对评标结果，有《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"http://www.caigou2003.com/" \t "_blank"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政府采购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（10）处理与评标有关的其他事项。</w:t>
      </w:r>
      <w:r/>
    </w:p>
    <w:p>
      <w:pPr>
        <w:ind w:firstLine="36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2.评标委员会负责具体评标事务，并独立履行下列职责：</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（3）对投标文件进行比较和评价；</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（5）向采购人、采购代理机构或者有关部门报告评标中发现的违法行为。</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（二十七）评标方法、评标标准。评标方法分为最低评标价法和综合评分法。</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（二十八）评标</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1.评标工作程序：</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（1）投标文件初审。</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①资格性审查。</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②符合性审查。</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（2）澄清有关问题。</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（3）比较与评价。</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（4）推荐中标候选投标人名单。</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（5）编写评审报告（评标报告）。</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3.采用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"http://lilun.caigou2003.com/recijiedu/2365668.html" \t "_blank"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最低评标价法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"http://lilun.caigou2003.com/recijiedu/2365667.html" \t "_blank"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综合评分法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2.大写金额和小写金额不一致的，以大写金额为准；</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评标小组</w:t>
      </w:r>
      <w:r>
        <w:rPr>
          <w:rFonts w:hint="eastAsia" w:ascii="宋体" w:hAnsi="宋体" w:eastAsia="宋体" w:cs="宋体"/>
          <w:b/>
          <w:bCs/>
          <w:color w:val="000000" w:themeColor="text1"/>
          <w:sz w:val="24"/>
          <w:szCs w:val="21"/>
          <w:highlight w:val="none"/>
          <w14:textFill>
            <w14:solidFill>
              <w14:schemeClr w14:val="tx1"/>
            </w14:solidFill>
          </w14:textFill>
        </w:rPr>
        <w:t xml:space="preserve">认为</w:t>
      </w:r>
      <w:r>
        <w:rPr>
          <w:rFonts w:hint="eastAsia" w:ascii="宋体" w:hAnsi="宋体" w:cs="宋体"/>
          <w:b/>
          <w:bCs/>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14:textFill>
            <w14:solidFill>
              <w14:schemeClr w14:val="tx1"/>
            </w14:solidFill>
          </w14:textFill>
        </w:rPr>
        <w:t xml:space="preserve">的报价明显低于其他</w:t>
      </w:r>
      <w:r>
        <w:rPr>
          <w:rFonts w:hint="eastAsia" w:ascii="宋体" w:hAnsi="宋体" w:cs="宋体"/>
          <w:b/>
          <w:bCs/>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14:textFill>
            <w14:solidFill>
              <w14:schemeClr w14:val="tx1"/>
            </w14:solidFill>
          </w14:textFill>
        </w:rPr>
        <w:t xml:space="preserve">的报价，有可能影响产品质量、服务质量或者不能诚信履约的，评标过程中出现下列情形之一的，</w:t>
      </w: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评标小组</w:t>
      </w:r>
      <w:r>
        <w:rPr>
          <w:rFonts w:hint="eastAsia" w:ascii="宋体" w:hAnsi="宋体" w:eastAsia="宋体" w:cs="宋体"/>
          <w:b/>
          <w:bCs/>
          <w:color w:val="000000" w:themeColor="text1"/>
          <w:sz w:val="24"/>
          <w:szCs w:val="21"/>
          <w:highlight w:val="none"/>
          <w14:textFill>
            <w14:solidFill>
              <w14:schemeClr w14:val="tx1"/>
            </w14:solidFill>
          </w14:textFill>
        </w:rPr>
        <w:t xml:space="preserve">应当启动异常低价响应审查程序:</w:t>
      </w:r>
      <w:r/>
    </w:p>
    <w:p>
      <w:pPr>
        <w:ind w:firstLine="480"/>
        <w:jc w:val="left"/>
        <w:spacing w:line="312" w:lineRule="auto"/>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报价低于采购项目预算50%的，即响应报价&lt;采购项目预算×50%；</w:t>
      </w:r>
      <w:r/>
    </w:p>
    <w:p>
      <w:pPr>
        <w:ind w:firstLine="480"/>
        <w:jc w:val="left"/>
        <w:spacing w:line="312" w:lineRule="auto"/>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报价低于采购项目最高限价45%的，即响应报价&lt;采购项目最高限价×45%；</w:t>
      </w:r>
      <w:r/>
    </w:p>
    <w:p>
      <w:pPr>
        <w:ind w:firstLine="480"/>
        <w:jc w:val="left"/>
        <w:spacing w:line="312" w:lineRule="auto"/>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3.评审委员会认定的</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报价过低、有可能影响产品质量或者不能诚信履约的其他情形。</w:t>
      </w:r>
      <w:r/>
    </w:p>
    <w:p>
      <w:pPr>
        <w:ind w:firstLine="480"/>
        <w:jc w:val="left"/>
        <w:spacing w:line="312" w:lineRule="auto"/>
        <w:rPr>
          <w:rFonts w:hint="eastAsia" w:ascii="宋体" w:hAnsi="宋体" w:eastAsia="宋体" w:cs="宋体"/>
          <w:b/>
          <w:bCs/>
          <w:color w:val="000000" w:themeColor="text1"/>
          <w:sz w:val="24"/>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启动异常低价响应审查后，评审委员会要求相关</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在评标现场合理的时间内，提供项目具体成本测算等与报价合理性相关的书面说明及相关证明材料，对响应价格作出解释，由评审委员会结合同类产品在主要电商平台的价格、该行业当地薪资水平等情况，依据专业经验对</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报价合理性进行判断。响应</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不提供书面说明、证明材料,或者提供的书面说明、证明材料不能证明其报价合理性的，评审委员会应当将其作为无效响应处理。审查相关情况应当在评审报告中进行记录</w:t>
      </w:r>
      <w:bookmarkStart w:id="14" w:name="_GoBack"/>
      <w:r/>
      <w:bookmarkEnd w:id="14"/>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w:t>
      </w:r>
      <w:r/>
    </w:p>
    <w:p>
      <w:pPr>
        <w:ind w:firstLine="480"/>
        <w:jc w:val="left"/>
        <w:spacing w:line="336"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对报价异常低且经评审委员会启动相关审查机制后仍中标或成交的</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，采购人要重点关注其履约能力、履约承诺、实际履约情况等。如</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在中标或成交后无正当理由拒不签订政府采购合同，采购人应将相关情况书面报送同级财政部门，由财政部门依法追究其法律责任；如</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在签订政府采购合同后不严格履行合同，采购人应按照政府采购合同约定追究</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违约责任，并将不良履约行为书面报送同级财政部门。</w:t>
      </w:r>
      <w:r/>
    </w:p>
    <w:p>
      <w:pPr>
        <w:ind w:firstLine="480"/>
        <w:jc w:val="left"/>
        <w:spacing w:line="336" w:lineRule="auto"/>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相关内容和要求见：《中华人民共和国政府采购法》、《中华人民共和国政府采购法实施条例》、《省财政厅关于推动解决政府采购异常低价问题相关工作的通知》（苏财购〔2025〕62号）及徐财购（2025）17号文。</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（三十二）废标条款：</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出现下列情形之一的，应予废标：</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2.出现影响采购公正的违法、违规行为的；</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4.因重大变故，采购任务取消的。</w:t>
      </w:r>
      <w:r/>
    </w:p>
    <w:p>
      <w:pPr>
        <w:jc w:val="center"/>
        <w:spacing w:line="336"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六、定标</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中标结果公告发布媒介：</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徐州政府采购网上发布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jc w:val="center"/>
        <w:spacing w:line="336"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七、政府采购合同</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（三十六）签订政府采购合同（合同签订方式）</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numPr>
          <w:ilvl w:val="0"/>
          <w:numId w:val="1"/>
        </w:num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（三十八）履约保证金</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1.中标人应当在签订采购合同前，向采购人提交本文件第三章《投标资料表》中规定金额的履约保证金。</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（三十九）腐败和欺诈行为</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（1）腐败和欺诈行为的含义：</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2.投标人应注意《合同通用条款》关于腐败和欺诈行为的相关规定。</w:t>
      </w:r>
      <w:r/>
    </w:p>
    <w:p>
      <w:pPr>
        <w:ind w:firstLine="482"/>
        <w:jc w:val="center"/>
        <w:spacing w:line="336"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ind w:firstLine="482"/>
        <w:jc w:val="center"/>
        <w:spacing w:line="336"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八、询问和质疑</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（四十）询问和质疑</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36"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九、电子招标投标交易平台</w:t>
      </w:r>
      <w:r/>
    </w:p>
    <w:p>
      <w:pPr>
        <w:ind w:firstLine="480"/>
        <w:jc w:val="left"/>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http://jszfcg.jsczt.cn/</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）相关要求是本招标文件的组成部分。</w:t>
      </w:r>
      <w:r/>
    </w:p>
    <w:p>
      <w:pPr>
        <w:ind w:firstLine="480"/>
        <w:spacing w:line="336"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36"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bookmarkStart w:id="3" w:name="_Toc14684"/>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第三章  投标资料表</w:t>
      </w:r>
      <w:bookmarkEnd w:id="3"/>
      <w:r/>
      <w:r/>
    </w:p>
    <w:p>
      <w:pPr>
        <w:pStyle w:val="1220"/>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说明：该投标资料表的“条款项号”是与第二章《投标人须知》中“条款项号”对应的；若有增加的条款，是对第二章《投标人须知》条款的补充、修改和完善，如果因此有矛盾的话，应以本投标资料表为准。</w:t>
      </w:r>
      <w:r/>
    </w:p>
    <w:tbl>
      <w:tblPr>
        <w:tblStyle w:val="1007"/>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内容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一、总则</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本项目采购人：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徐州市公安局刑事侦查支队</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本次采购采用的政府采购方式：公开招标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采购人确定的采购项目属性：服务</w:t>
            </w:r>
            <w:r/>
          </w:p>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本项目是否为专门面向中小微企业采购的项目：是</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本项目采购代理机构：江苏科建工程项目管理有限公司</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8730" w:type="dxa"/>
            <w:vAlign w:val="top"/>
            <w:textDirection w:val="lrTb"/>
            <w:noWrap w:val="false"/>
          </w:tcPr>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投标人的资格条件：</w:t>
            </w:r>
            <w:r/>
          </w:p>
          <w:p>
            <w:pPr>
              <w:pStyle w:val="1153"/>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一、符合《中华人民共和国政府采购法》第二十二条的规定；</w:t>
            </w:r>
            <w:r/>
          </w:p>
          <w:p>
            <w:pPr>
              <w:pStyle w:val="1153"/>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二、本项目为专门面向中小企业采购的项目，供应商应为中小微企业、监狱企业、残疾人福利性单位。</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同时明确相关事项如下：</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一、本项目不接受联合体参与</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活动。</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二、单位负责人为同一人或者存在直接控股、管理关系的不同供应商，不得参加同一合同项下的政府</w:t>
            </w:r>
            <w:r>
              <w:rPr>
                <w:rFonts w:hint="eastAsia" w:ascii="宋体" w:hAnsi="宋体" w:cs="宋体"/>
                <w:color w:val="000000" w:themeColor="text1"/>
                <w:sz w:val="24"/>
                <w:highlight w:val="none"/>
                <w:lang w:val="en-US" w:eastAsia="zh-CN"/>
                <w14:textFill>
                  <w14:solidFill>
                    <w14:schemeClr w14:val="tx1"/>
                  </w14:solidFill>
                </w14:textFill>
              </w:rPr>
              <w:t xml:space="preserve">招标投标</w:t>
            </w:r>
            <w:r>
              <w:rPr>
                <w:rFonts w:hint="eastAsia" w:ascii="宋体" w:hAnsi="宋体" w:cs="宋体"/>
                <w:color w:val="000000" w:themeColor="text1"/>
                <w:sz w:val="24"/>
                <w:highlight w:val="none"/>
                <w14:textFill>
                  <w14:solidFill>
                    <w14:schemeClr w14:val="tx1"/>
                  </w14:solidFill>
                </w14:textFill>
              </w:rPr>
              <w:t xml:space="preserve">活动。</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三、为本采购项目提供整体设计、规范编制或者项目管理、监理、检测等服务的供应商，不得再参加本采购项目的</w:t>
            </w:r>
            <w:r>
              <w:rPr>
                <w:rFonts w:hint="eastAsia" w:ascii="宋体" w:hAnsi="宋体" w:cs="宋体"/>
                <w:color w:val="000000" w:themeColor="text1"/>
                <w:sz w:val="24"/>
                <w:highlight w:val="none"/>
                <w:lang w:val="en-US" w:eastAsia="zh-CN"/>
                <w14:textFill>
                  <w14:solidFill>
                    <w14:schemeClr w14:val="tx1"/>
                  </w14:solidFill>
                </w14:textFill>
              </w:rPr>
              <w:t xml:space="preserve">招标投标活动</w:t>
            </w:r>
            <w:r>
              <w:rPr>
                <w:rFonts w:hint="eastAsia" w:ascii="宋体" w:hAnsi="宋体" w:cs="宋体"/>
                <w:color w:val="000000" w:themeColor="text1"/>
                <w:sz w:val="24"/>
                <w:highlight w:val="none"/>
                <w14:textFill>
                  <w14:solidFill>
                    <w14:schemeClr w14:val="tx1"/>
                  </w14:solidFill>
                </w14:textFill>
              </w:rPr>
              <w:t xml:space="preserve">。</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四、查询及使用供应商信用记录：</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(一)由采购人查询信用信息。</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(二)查询渠道包括：</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www.creditchina.gov.cn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www.ccgp.gov.cn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3.“诚信江苏”网（www.jiangsu.gov.cn/jsxy/index.htm）或“信用江苏”网（http://credit.jiangsu.gov.cn/）；</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4.“诚信徐州”网（http://www.xuzhoucredit.gov.cn）或“信用徐州”网（www.xuzhoucredit.gov.cn/）；</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(三)截止时点（查询环节）：</w:t>
            </w:r>
            <w:r>
              <w:rPr>
                <w:rFonts w:hint="eastAsia" w:ascii="宋体" w:hAnsi="宋体" w:cs="宋体"/>
                <w:color w:val="000000" w:themeColor="text1"/>
                <w:sz w:val="24"/>
                <w:highlight w:val="none"/>
                <w:lang w:val="en-US" w:eastAsia="zh-CN"/>
                <w14:textFill>
                  <w14:solidFill>
                    <w14:schemeClr w14:val="tx1"/>
                  </w14:solidFill>
                </w14:textFill>
              </w:rPr>
              <w:t xml:space="preserve">开标后</w:t>
            </w:r>
            <w:r>
              <w:rPr>
                <w:rFonts w:hint="eastAsia" w:ascii="宋体" w:hAnsi="宋体" w:cs="宋体"/>
                <w:color w:val="000000" w:themeColor="text1"/>
                <w:sz w:val="24"/>
                <w:highlight w:val="none"/>
                <w14:textFill>
                  <w14:solidFill>
                    <w14:schemeClr w14:val="tx1"/>
                  </w14:solidFill>
                </w14:textFill>
              </w:rPr>
              <w:t xml:space="preserve">资格审查结束前。</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(四)信用信息查询记录和证据留存的具体方式：网页截屏打印，与其他采购文件一并保存。</w:t>
            </w:r>
            <w:r/>
          </w:p>
          <w:p>
            <w:pPr>
              <w:pStyle w:val="1153"/>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(五)信用信息的使用规则：</w:t>
            </w:r>
            <w:r/>
          </w:p>
          <w:p>
            <w:pPr>
              <w:pStyle w:val="1153"/>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730" w:type="dxa"/>
            <w:vAlign w:val="top"/>
            <w:textDirection w:val="lrTb"/>
            <w:noWrap w:val="false"/>
          </w:tcPr>
          <w:p>
            <w:pPr>
              <w:pStyle w:val="1153"/>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招标代理服务费由中标人支付，标准不高于《招标代理服务收费标准》（见附件）</w:t>
            </w:r>
            <w:r>
              <w:rPr>
                <w:rFonts w:hint="eastAsia" w:ascii="宋体" w:hAnsi="宋体"/>
                <w:color w:val="000000" w:themeColor="text1"/>
                <w:sz w:val="24"/>
                <w:highlight w:val="none"/>
                <w14:textFill>
                  <w14:solidFill>
                    <w14:schemeClr w14:val="tx1"/>
                  </w14:solidFill>
                </w14:textFill>
              </w:rPr>
              <w:t xml:space="preserve">。</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二、招标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不安排现场考察。</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不安排开标前答疑会</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三、投标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投标文件的语言为中文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投标人须用政府采购客户端工具导入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“苏采云”系统下载的招标文件后，离线编制投标文件。招标文件、供应商操作手册及政府采购客户端工具可通过“苏采云”系统（网址：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HYPERLINK "http://jszfcg.jsczt.cn/"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http://jszfcg.jsc</w:t>
            </w:r>
            <w:bookmarkStart w:id="4" w:name="_Hlt91509263"/>
            <w:r/>
            <w:bookmarkStart w:id="5" w:name="_Hlt9150926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z</w:t>
            </w:r>
            <w:bookmarkEnd w:id="4"/>
            <w:r/>
            <w:bookmarkEnd w:id="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t.cn/</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）--已报名项目--</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报名详情页面内相应链接进行下载</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特别说明：政府采购客户端工具需要导出加密的投标文件（后缀名为zip）。投标文件不得超过150M！（以系统为准）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p>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线上投标文件编制要求</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w:t>
            </w:r>
            <w:r/>
          </w:p>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请按照以下要求</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（包括但不限于以下要求）制作：</w:t>
            </w:r>
            <w:r/>
          </w:p>
          <w:p>
            <w:pPr>
              <w:spacing w:line="340" w:lineRule="exac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一、基本目录</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1、目录</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开标一览表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》（加盖电子签章，政府采购客户端工具输入报价自动生成）。</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投标人认为需要提供的其他资料</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（如有）</w:t>
            </w:r>
            <w:r/>
          </w:p>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二、资格条件（1-</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必须提供，并加盖电子签章，否则投标无效）</w:t>
            </w:r>
            <w:r/>
          </w:p>
          <w:p>
            <w:pPr>
              <w:spacing w:line="3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（一）满足《中华人民共和国政府采购法》第二十二条规定：</w:t>
            </w:r>
            <w:r/>
          </w:p>
          <w:p>
            <w:pPr>
              <w:pStyle w:val="1153"/>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1.投标人合法有效的法人或者其他组织的营业执照等证明文件，自然人的身份证明，以上证明文件提供扫描件。</w:t>
            </w:r>
            <w:r/>
          </w:p>
          <w:p>
            <w:pPr>
              <w:pStyle w:val="1153"/>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2.财务状况报告（即提供投标人的本项目开标时间6个月内（不含开标当月）任何1个月的资产负债表、利润表各一份或提供投标人上年度</w:t>
            </w:r>
            <w:r>
              <w:rPr>
                <w:rFonts w:hint="eastAsia" w:asciiTheme="minorEastAsia" w:hAnsiTheme="minorEastAsia" w:eastAsiaTheme="minorEastAsia" w:cstheme="minorEastAsia"/>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i w:val="0"/>
                <w:iCs w:val="0"/>
                <w:caps w:val="0"/>
                <w:color w:val="000000" w:themeColor="text1"/>
                <w:spacing w:val="0"/>
                <w:sz w:val="24"/>
                <w:szCs w:val="24"/>
                <w:highlight w:val="none"/>
                <w:lang w:val="en-US" w:eastAsia="zh-CN"/>
                <w14:textFill>
                  <w14:solidFill>
                    <w14:schemeClr w14:val="tx1"/>
                  </w14:solidFill>
                </w14:textFill>
              </w:rPr>
              <w:t xml:space="preserve">2024年度）经审计的</w:t>
            </w:r>
            <w:r>
              <w:rPr>
                <w:rFonts w:hint="eastAsia" w:ascii="宋体" w:hAnsi="宋体" w:cs="宋体"/>
                <w:color w:val="000000" w:themeColor="text1"/>
                <w:sz w:val="24"/>
                <w:highlight w:val="none"/>
                <w14:textFill>
                  <w14:solidFill>
                    <w14:schemeClr w14:val="tx1"/>
                  </w14:solidFill>
                </w14:textFill>
              </w:rPr>
              <w:t xml:space="preserve">财务报告或投标人的本项目开标时间前6个月内（不含开标当月）</w:t>
            </w:r>
            <w:r>
              <w:rPr>
                <w:rFonts w:hint="eastAsia" w:ascii="宋体" w:hAnsi="宋体" w:cs="宋体"/>
                <w:color w:val="000000" w:themeColor="text1"/>
                <w:sz w:val="24"/>
                <w:highlight w:val="none"/>
                <w:lang w:val="en-US" w:eastAsia="zh-CN"/>
                <w14:textFill>
                  <w14:solidFill>
                    <w14:schemeClr w14:val="tx1"/>
                  </w14:solidFill>
                </w14:textFill>
              </w:rPr>
              <w:t xml:space="preserve">任何1月</w:t>
            </w:r>
            <w:r>
              <w:rPr>
                <w:rFonts w:hint="eastAsia" w:ascii="宋体" w:hAnsi="宋体" w:cs="宋体"/>
                <w:color w:val="000000" w:themeColor="text1"/>
                <w:sz w:val="24"/>
                <w:highlight w:val="none"/>
                <w14:textFill>
                  <w14:solidFill>
                    <w14:schemeClr w14:val="tx1"/>
                  </w14:solidFill>
                </w14:textFill>
              </w:rPr>
              <w:t xml:space="preserve">银行出具的资信证明扫描件）；</w:t>
            </w:r>
            <w:r/>
          </w:p>
          <w:p>
            <w:pPr>
              <w:pStyle w:val="1153"/>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3.投标人的本项目开标时间前6个月内</w:t>
            </w:r>
            <w:r>
              <w:rPr>
                <w:rFonts w:hint="eastAsia" w:asciiTheme="minorEastAsia" w:hAnsiTheme="minorEastAsia" w:eastAsiaTheme="minorEastAsia" w:cstheme="minorEastAsia"/>
                <w:i w:val="0"/>
                <w:iCs w:val="0"/>
                <w:caps w:val="0"/>
                <w:color w:val="000000" w:themeColor="text1"/>
                <w:spacing w:val="0"/>
                <w:sz w:val="24"/>
                <w:szCs w:val="24"/>
                <w:highlight w:val="none"/>
                <w14:textFill>
                  <w14:solidFill>
                    <w14:schemeClr w14:val="tx1"/>
                  </w14:solidFill>
                </w14:textFill>
              </w:rPr>
              <w:t xml:space="preserve">（不含开标当月）</w:t>
            </w:r>
            <w:r>
              <w:rPr>
                <w:rFonts w:hint="eastAsia" w:ascii="宋体" w:hAnsi="宋体" w:cs="宋体"/>
                <w:color w:val="000000" w:themeColor="text1"/>
                <w:sz w:val="24"/>
                <w:highlight w:val="none"/>
                <w14:textFill>
                  <w14:solidFill>
                    <w14:schemeClr w14:val="tx1"/>
                  </w14:solidFill>
                </w14:textFill>
              </w:rPr>
              <w:t xml:space="preserve">任何1个月的依法缴纳税收和社会保障资金的相关材料扫描件（依法免税或不需要缴纳社会保障资金的供应商,提供相应文件证明其依法免税或不需要缴纳社会保障资金)；</w:t>
            </w:r>
            <w:r/>
          </w:p>
          <w:p>
            <w:pPr>
              <w:pStyle w:val="1153"/>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cstheme="minorEastAsia"/>
                <w:i w:val="0"/>
                <w:iCs w:val="0"/>
                <w:caps w:val="0"/>
                <w:color w:val="000000" w:themeColor="text1"/>
                <w:spacing w:val="0"/>
                <w:sz w:val="24"/>
                <w:szCs w:val="24"/>
                <w:highlight w:val="none"/>
                <w:lang w:val="en-US" w:eastAsia="zh-CN"/>
                <w14:textFill>
                  <w14:solidFill>
                    <w14:schemeClr w14:val="tx1"/>
                  </w14:solidFill>
                </w14:textFill>
              </w:rPr>
              <w:t xml:space="preserve">具有履行合同所必需的设备和专业技术能力（投标文件中提供《具备履行合同所必需的设备和专业技术能力的书面声明》，加盖电子签章，格式见招标文件第七章《投标文件相关格式》）；</w:t>
            </w:r>
            <w:r/>
          </w:p>
          <w:p>
            <w:pPr>
              <w:pStyle w:val="1153"/>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1153"/>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b/>
                <w:color w:val="000000" w:themeColor="text1"/>
                <w:sz w:val="24"/>
                <w:highlight w:val="none"/>
                <w14:textFill>
                  <w14:solidFill>
                    <w14:schemeClr w14:val="tx1"/>
                  </w14:solidFill>
                </w14:textFill>
              </w:rPr>
              <w:t xml:space="preserve">提供的服务全部由符合政策要求的中小企业提供，提供《中小企业声明函》</w:t>
            </w:r>
            <w:r>
              <w:rPr>
                <w:rFonts w:hint="eastAsia" w:ascii="宋体" w:hAnsi="宋体" w:cs="宋体"/>
                <w:bCs/>
                <w:color w:val="000000" w:themeColor="text1"/>
                <w:sz w:val="24"/>
                <w:highlight w:val="none"/>
                <w14:textFill>
                  <w14:solidFill>
                    <w14:schemeClr w14:val="tx1"/>
                  </w14:solidFill>
                </w14:textFill>
              </w:rPr>
              <w:t xml:space="preserve">（填写完整，加盖电子签章，格式见招标文件第七章《投标文件相关格式》。如不填写完整或未按要求填写的，视为无效）。</w:t>
            </w:r>
            <w:r/>
          </w:p>
          <w:p>
            <w:pPr>
              <w:pStyle w:val="1027"/>
              <w:ind w:firstLine="480"/>
              <w:jc w:val="both"/>
              <w:spacing w:beforeAutospacing="0" w:afterAutospacing="0" w:line="3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《中小企业声明函》查询渠道用微信搜索“中小企业规模类型自测小程序”。</w:t>
            </w:r>
            <w:r/>
          </w:p>
          <w:p>
            <w:pPr>
              <w:pStyle w:val="1027"/>
              <w:jc w:val="both"/>
              <w:spacing w:beforeAutospacing="0" w:afterAutospacing="0" w:line="3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中小微企业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，应当符合以下条件：</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中小企业需满足的条件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为监狱企业的，视同小微企业，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为残疾人福利性单位的，视同小微企业，提供《残疾人福利性单位声明函》（加盖电子签章，格式见招标文件第七章《投标文件相关格式》）。具体以《三部门联合发布关于促进残疾人就业政府采购政策的通知》（财库〔2017〕141号）规定为准。</w:t>
            </w:r>
            <w:r/>
          </w:p>
          <w:p>
            <w:pPr>
              <w:pStyle w:val="1035"/>
              <w:ind w:left="0" w:firstLine="0"/>
              <w:rPr>
                <w:rFonts w:hint="default"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7.投标人信用记录（要求见本章条款项号“(六)”中（四）查询及使用投标人信用记录）。</w:t>
            </w:r>
            <w:r/>
          </w:p>
          <w:p>
            <w:pPr>
              <w:ind w:firstLine="482"/>
              <w:spacing w:line="340" w:lineRule="exac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三、符合条件（必须提供，否则投标无效）</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（一）报价</w:t>
            </w:r>
            <w:r/>
          </w:p>
          <w:p>
            <w:pPr>
              <w:ind w:firstLine="480"/>
              <w:spacing w:line="312"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1、《开标一览表》（加盖电子签章，格式见招标文件第七章《投标文件相关格式》或政府采购客户端工具输入报价自动生成。）</w:t>
            </w:r>
            <w:r/>
          </w:p>
          <w:p>
            <w:pPr>
              <w:ind w:firstLine="480"/>
              <w:spacing w:line="312"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2、《分项价格表》（加盖电子签章，格式见招标文件第七章《投标文件相关格式》。）</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（二）商务资信</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2、《授权委托书》（加盖电子签章，格式见招标文件第七章《投标文件相关格式》）</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（三）技术响应</w:t>
            </w:r>
            <w:r/>
          </w:p>
          <w:p>
            <w:pPr>
              <w:pStyle w:val="1153"/>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《偏离表》（加盖电子签章，格式见招标文件第七章《投标文件相关格式》。）</w:t>
            </w:r>
            <w:r/>
          </w:p>
          <w:p>
            <w:pPr>
              <w:pStyle w:val="1153"/>
              <w:ind w:firstLine="480"/>
              <w:spacing w:line="40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2、《用工、卫生及安全责任承诺书》（加盖电子签章，格式见招标文件第七章《投标文件相关格式》）。</w:t>
            </w:r>
            <w:r/>
          </w:p>
          <w:p>
            <w:pPr>
              <w:pStyle w:val="1153"/>
              <w:ind w:firstLine="480"/>
              <w:spacing w:line="400" w:lineRule="exact"/>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3、《中标后履行合同前办理《食品经营许可证》承诺书》（加盖电子签章，格式见招标文件第七章《投标文件相关格式》）。</w:t>
            </w:r>
            <w:r/>
          </w:p>
          <w:p>
            <w:pPr>
              <w:pStyle w:val="1153"/>
              <w:ind w:firstLine="480"/>
              <w:spacing w:line="40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4、《所有派驻人员持有健康证和无违法犯罪记录承诺书》（加盖电子签章，格式见招标文件第七章《投标文件相关格式》）。</w:t>
            </w:r>
            <w:r/>
          </w:p>
          <w:p>
            <w:pPr>
              <w:pStyle w:val="1153"/>
              <w:ind w:firstLine="480"/>
              <w:spacing w:line="400" w:lineRule="exact"/>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人员数量最低配备要求承诺书</w:t>
            </w:r>
            <w:r>
              <w:rPr>
                <w:rFonts w:hint="eastAsia"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（加盖电子签章，格式见招标文件第七章《投标文件相关格式》）。</w:t>
            </w:r>
            <w:r/>
          </w:p>
          <w:p>
            <w:pPr>
              <w:ind w:firstLine="482"/>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四、</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综合评审评分项</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（一）技术部分</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要求见招标文件第四章《评标标准》、第五章《采购需求》。</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（二）商务部分</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要求见招标文件第四章《评标标准》。</w:t>
            </w:r>
            <w:r/>
          </w:p>
          <w:p>
            <w:pPr>
              <w:ind w:firstLine="482"/>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五、报价折扣证明：</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无。</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1、投标人应对以上文件的合法性、真实性负责。</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3、线下纸质和电子投标文件：中标人在领取中标通知书前须向代理机构提交纸质胶装投标文件一正四副和电子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投标文件1份（和正本一致，载体为U盘或光盘），后期招标人如有需要中标人仍需免费提供。</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商务条件见：</w:t>
            </w:r>
            <w:r/>
          </w:p>
          <w:p>
            <w:pPr>
              <w:ind w:firstLine="482"/>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1.招标文件第四章《评标标准》中《评分细则》</w:t>
            </w:r>
            <w:r/>
          </w:p>
          <w:p>
            <w:pPr>
              <w:ind w:firstLine="482"/>
              <w:spacing w:line="3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2.招标文件第三章《投标资料表》中(十二)1和(十二)2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提供服务或交付成果报告的时间见：招标文件第五章《采购需求》及或招标文件第六章《拟签订的合同文本》。</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采购预算为</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78.125</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万元，最高限价</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78.125</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万元</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p>
          <w:p>
            <w:pPr>
              <w:ind w:firstLine="482"/>
              <w:spacing w:line="340" w:lineRule="exact"/>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投标人报价应包含以下各项费用：投标人所支付的如养老金（退休费）、医疗费、安全费、卫生费、福利费、教育费、保险费、体检费、劳保用品费、服装费、伙食费等国家规定或用工合同中注明的一切人员费用及材料、机械、统一服装、胸卡、通讯器材、办公设备、保险、利润、政策性文件规定及合同包含的所有风险、责任等各项应有费用；以及因人员辞退、工伤事故等造成的赔偿金</w:t>
            </w:r>
            <w:r>
              <w:rPr>
                <w:rFonts w:hint="eastAsia" w:hAnsi="宋体" w:eastAsia="宋体" w:cs="宋体"/>
                <w:color w:val="000000" w:themeColor="text1"/>
                <w:sz w:val="24"/>
                <w:highlight w:val="none"/>
                <w14:textFill>
                  <w14:solidFill>
                    <w14:schemeClr w14:val="tx1"/>
                  </w14:solidFill>
                </w14:textFill>
              </w:rPr>
              <w:t xml:space="preserve">；在合同期内社保基金调整的费用由中标人负责</w:t>
            </w:r>
            <w:r>
              <w:rPr>
                <w:rFonts w:hint="eastAsia" w:hAnsi="宋体" w:cs="宋体"/>
                <w:color w:val="000000" w:themeColor="text1"/>
                <w:sz w:val="24"/>
                <w:highlight w:val="none"/>
                <w14:textFill>
                  <w14:solidFill>
                    <w14:schemeClr w14:val="tx1"/>
                  </w14:solidFill>
                </w14:textFill>
              </w:rPr>
              <w:t xml:space="preserve">。采购人不再支付报价以外的任何费用。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以人民币报价。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线上要求：投标人应当通过“苏采云”系统提交数据电文形式的投标文件（即电子投标）。</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特别说明：投标人通过“苏采云”系统提交政府采购客户端工具导出加密的投标文件（后缀名为zip）。投标文件不得超过150M！（以系统为准）</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投标文件的退还：</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说明：本项目采用线上投标，即</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投标文件从政府采购客户端工具制作通过“苏采云”系统提交，未提供线上投标文件的，投标无效。</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见招标文件第三章《投标资料表》中</w:t>
            </w:r>
            <w:r>
              <w:rPr>
                <w:rFonts w:hint="eastAsia" w:ascii="宋体" w:hAnsi="宋体" w:cs="宋体"/>
                <w:color w:val="000000" w:themeColor="text1"/>
                <w:sz w:val="24"/>
                <w:highlight w:val="none"/>
                <w14:textFill>
                  <w14:solidFill>
                    <w14:schemeClr w14:val="tx1"/>
                  </w14:solidFill>
                </w14:textFill>
              </w:rPr>
              <w:t xml:space="preserve">(十二)1和(十二)2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线上投标文件的密封、签署、盖章要求：</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一、投标文件的密封（加密）要求：</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二、投标文件的签署要求：见招标文件第七章《投标文件相关格式》。</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说明：</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1、未进行线上投标并解密(因“苏采云”系统导致解密失败的除外)的，所导致的一切后果均由投标人承担。</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2、投标文件的签署要求：见招标文件第七章《投标文件相关格式》。</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3、投标文件的盖章要求：见招标文件第三章《投标资料表》和招标文件第七章《投标文件相关格式》。</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说明：投标人应凭CA数字证书以及自备的能够登录“苏采云”系统的电脑，在达到开标时间后，使用CA数字证书解密各自投标文件。</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投标人未按规定加密的投标文件，“苏采云”系统应当拒收并提示。</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一、投标文件提交时间：</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2026</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年</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01</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月21日</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09:30前</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spacing w:line="340" w:lineRule="exac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二、投标截止时间：</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2026</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年</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01</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月21日</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北京时间09:30</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三、投标文件的提交与接收地点：投标人应当通过“苏采云”系统提交数据电文形式的投标文件（即电子投标），“苏采云”系统自动接收。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投标人应携带 CA 数字证书以及自备的能够登录“苏采云”系统的电脑在到达开标时间后，使用 CA 数字证书解密各自投标文件。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四、开标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left"/>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开标时间：</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2026</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年</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01</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月21日</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北京时间09:30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textWrapping" w:clear="all"/>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开标地点：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五、评标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评标小组的组建：5人。由采购人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评委1人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和政府采购专家组成（从《江苏省政府采购专家库》随机抽取）。</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采用综合评分法。各评标因素权数详见第四章《评标标准》中《评分细则》</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(二十八)1</w:t>
            </w:r>
            <w:r/>
          </w:p>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1、推荐中标候选供应商名单。中标候选供应商数量应当根据采购需要确定，但必须按顺序排列中标候选供应商。</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2、采用综合评分法的，按评审后得分由高到低顺序排列。得分相同的，按投标报价由低到高顺序排列；投标报价得分相同的，按商务部分得分由高到低顺序排列。投标报价且商务得分相同的，按</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服务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方案得分由高到低顺序排列。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（二十九）</w:t>
            </w:r>
            <w:r/>
          </w:p>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七、采购合同</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采购人与中标、成交供应商应当在中标、成交通知书发出之日起30日内，按照采购文件确定的事项签订采购合同。</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default" w:eastAsia="宋体"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履约保证金：合同金额的10%，在签订合同前以支票、汇票、本票或者金融机构、担保机构出具的保函等非现金形式缴纳。履约保证金在履约期满后无息退还。</w:t>
            </w:r>
            <w:r>
              <w:rPr>
                <w:rFonts w:hint="eastAsia" w:ascii="宋体" w:hAnsi="宋体" w:cs="宋体"/>
                <w:color w:val="000000" w:themeColor="text1"/>
                <w:sz w:val="24"/>
                <w:highlight w:val="none"/>
                <w:lang w:val="en-US" w:eastAsia="zh-CN"/>
                <w14:textFill>
                  <w14:solidFill>
                    <w14:schemeClr w14:val="tx1"/>
                  </w14:solidFill>
                </w14:textFill>
              </w:rPr>
              <w:t xml:space="preserve">详见合同条款。</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认为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招标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文件、采购过程和中标、成交结果使自己的权益受到损害的，可以在知道或者应知其权益受到损害之日起七个工作日内，以书面形式向采购人或采购代理机构提出质疑。</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2、质疑和投诉按《政府采购质疑和投诉办法》执行，</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在法定质疑期内一次性提出针对同一采购程序环节的质疑。</w:t>
            </w:r>
            <w:r/>
          </w:p>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3、质疑时效期间的计算：（1）对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招标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文件提出质疑的，为收到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招标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文件之日或</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招标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文件公告期限届满之日；（2）对招标过程提出质疑的，为招标程序各环节结束之日；（3）对成交结果提出质疑的，为成交公告期限届满之日。</w:t>
            </w:r>
            <w:r/>
          </w:p>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质疑接收人：朱文颖   联系电话：0516-85610680</w:t>
            </w:r>
            <w:r/>
          </w:p>
          <w:p>
            <w:pP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地址：徐州市泉山区软件园路2号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中标人在收到中标通知书时，须向采购代理机构提交《开标一览表》和《分项价格表》的数据文件（WORD格式）。</w:t>
            </w:r>
            <w:r/>
          </w:p>
        </w:tc>
      </w:tr>
    </w:tbl>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headerReference w:type="default" r:id="rId10"/>
          <w:footerReference w:type="default" r:id="rId17"/>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附件：</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招标代理服务收费标准</w:t>
      </w:r>
      <w:r/>
    </w:p>
    <w:tbl>
      <w:tblPr>
        <w:tblStyle w:val="1007"/>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费率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0.005%</w:t>
            </w:r>
            <w:r/>
          </w:p>
        </w:tc>
      </w:tr>
    </w:tbl>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72"/>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说明：</w:t>
      </w:r>
      <w:r/>
    </w:p>
    <w:p>
      <w:pPr>
        <w:ind w:firstLine="472"/>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472"/>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2、代理服务费按差额定率累进法计算。</w:t>
      </w:r>
      <w:r/>
    </w:p>
    <w:p>
      <w:pPr>
        <w:ind w:firstLine="472"/>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3、代理服务费基准金额（按差额定率累进法计算的）=中标金额（按差额定率累进法计算的）*费率（%）</w:t>
      </w:r>
      <w:r/>
    </w:p>
    <w:p>
      <w:pPr>
        <w:ind w:firstLine="472"/>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472"/>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5、定点类等无金额或事先不能计算出价格总额的项目，按中标（成交）金额100万元计算服务费。</w:t>
      </w:r>
      <w:r/>
    </w:p>
    <w:p>
      <w:pPr>
        <w:ind w:firstLine="472"/>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6.有分包(分标段)的以一个项目计算。</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bookmarkStart w:id="6" w:name="_Toc9429"/>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r>
      <w:r/>
    </w:p>
    <w:p>
      <w:pPr>
        <w:pStyle w:val="1036"/>
        <w:numPr>
          <w:ilvl w:val="0"/>
          <w:numId w:val="0"/>
        </w:numPr>
        <w:jc w:val="center"/>
        <w:rPr>
          <w:rStyle w:val="116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0"/>
      </w:pPr>
      <w:r/>
      <w:bookmarkStart w:id="7" w:name="_Toc4987"/>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第四章</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 </w:t>
      </w:r>
      <w:r>
        <w:rPr>
          <w:rStyle w:val="1164"/>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评标标准</w:t>
      </w:r>
      <w:bookmarkEnd w:id="6"/>
      <w:r/>
      <w:bookmarkEnd w:id="7"/>
      <w:r/>
      <w:r/>
    </w:p>
    <w:tbl>
      <w:tblPr>
        <w:tblStyle w:val="1007"/>
        <w:tblpPr w:horzAnchor="page" w:tblpX="962" w:vertAnchor="text" w:tblpY="465" w:leftFromText="180" w:topFromText="0" w:rightFromText="180" w:bottomFromText="0"/>
        <w:tblW w:w="101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1695"/>
        <w:gridCol w:w="7215"/>
      </w:tblGrid>
      <w:tr>
        <w:trPr>
          <w:trHeight w:val="567"/>
        </w:trPr>
        <w:tc>
          <w:tcPr>
            <w:gridSpan w:val="2"/>
            <w:tcW w:w="2940" w:type="dxa"/>
            <w:vAlign w:val="center"/>
            <w:textDirection w:val="lrTb"/>
            <w:noWrap w:val="false"/>
          </w:tcPr>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评审因素</w:t>
            </w:r>
            <w:r/>
          </w:p>
        </w:tc>
        <w:tc>
          <w:tcPr>
            <w:tcW w:w="7215" w:type="dxa"/>
            <w:vAlign w:val="center"/>
            <w:textDirection w:val="lrTb"/>
            <w:noWrap w:val="false"/>
          </w:tcPr>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评审因素细化和量化</w:t>
            </w:r>
            <w:r/>
          </w:p>
        </w:tc>
      </w:tr>
      <w:tr>
        <w:trPr>
          <w:trHeight w:val="1251"/>
        </w:trPr>
        <w:tc>
          <w:tcPr>
            <w:tcW w:w="1245" w:type="dxa"/>
            <w:vAlign w:val="center"/>
            <w:textDirection w:val="lrTb"/>
            <w:noWrap w:val="false"/>
          </w:tcPr>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价格</w:t>
            </w:r>
            <w:r/>
          </w:p>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部分</w:t>
            </w:r>
            <w:r/>
          </w:p>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（10分）</w:t>
            </w:r>
            <w:r/>
          </w:p>
        </w:tc>
        <w:tc>
          <w:tcPr>
            <w:tcW w:w="1695" w:type="dxa"/>
            <w:vAlign w:val="center"/>
            <w:textDirection w:val="lrTb"/>
            <w:noWrap w:val="false"/>
          </w:tcPr>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价格</w:t>
            </w:r>
            <w:r/>
          </w:p>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（10分）</w:t>
            </w:r>
            <w:r/>
          </w:p>
        </w:tc>
        <w:tc>
          <w:tcPr>
            <w:tcW w:w="7215" w:type="dxa"/>
            <w:vAlign w:val="center"/>
            <w:textDirection w:val="lrTb"/>
            <w:noWrap w:val="false"/>
          </w:tcPr>
          <w:p>
            <w:pPr>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价格分采用低价优先法计算，即满足招标文件要求且投标报价最低的为评标基准价，其价格分为满分10分。其他</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的价格分统一按下列公式计算：报价得分=（评标基准价/投标报价）×10，得分四舍五入保留小数点后2位。</w:t>
            </w:r>
            <w:r/>
          </w:p>
        </w:tc>
      </w:tr>
      <w:tr>
        <w:trPr>
          <w:cantSplit/>
          <w:trHeight w:val="567"/>
        </w:trPr>
        <w:tc>
          <w:tcPr>
            <w:tcW w:w="1245"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商务</w:t>
            </w:r>
            <w:r/>
          </w:p>
          <w:p>
            <w:pPr>
              <w:jc w:val="center"/>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部分</w:t>
            </w:r>
            <w:r/>
          </w:p>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c>
          <w:tcPr>
            <w:tcW w:w="1695" w:type="dxa"/>
            <w:vAlign w:val="center"/>
            <w:textDirection w:val="lrTb"/>
            <w:noWrap w:val="false"/>
          </w:tcPr>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业绩</w:t>
            </w:r>
            <w:r/>
          </w:p>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tc>
        <w:tc>
          <w:tcPr>
            <w:tcW w:w="7215" w:type="dxa"/>
            <w:vAlign w:val="center"/>
            <w:textDirection w:val="lrTb"/>
            <w:noWrap w:val="false"/>
          </w:tcPr>
          <w:p>
            <w:pPr>
              <w:pStyle w:val="1152"/>
              <w:ind w:left="0"/>
              <w:spacing w:after="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月1日（含）以来承接过相同或类似项目业绩的，</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投标文件中提供合同扫描件，每份得2分，本项最高得4分。</w:t>
            </w:r>
            <w:r/>
          </w:p>
          <w:p>
            <w:pPr>
              <w:pStyle w:val="1074"/>
              <w:ind w:left="0" w:right="0" w:firstLine="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eastAsia="宋体" w:cs="宋体"/>
                <w:b/>
                <w:bCs/>
                <w:color w:val="000000" w:themeColor="text1"/>
                <w:sz w:val="24"/>
                <w:szCs w:val="24"/>
                <w:highlight w:val="none"/>
                <w14:textFill>
                  <w14:solidFill>
                    <w14:schemeClr w14:val="tx1"/>
                  </w14:solidFill>
                </w14:textFill>
              </w:rPr>
              <w:t xml:space="preserve">时间以合同签订时间为准，</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投标文件中须同时提供业绩合同扫描件并加盖投标人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电子</w:t>
            </w:r>
            <w:r>
              <w:rPr>
                <w:rFonts w:hint="eastAsia" w:ascii="宋体" w:hAnsi="宋体" w:eastAsia="宋体" w:cs="宋体"/>
                <w:b/>
                <w:bCs/>
                <w:color w:val="000000" w:themeColor="text1"/>
                <w:sz w:val="24"/>
                <w:szCs w:val="24"/>
                <w:highlight w:val="none"/>
                <w14:textFill>
                  <w14:solidFill>
                    <w14:schemeClr w14:val="tx1"/>
                  </w14:solidFill>
                </w14:textFill>
              </w:rPr>
              <w:t xml:space="preserve">公章方为有效，未提供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内容、公章模糊不清</w:t>
            </w:r>
            <w:r>
              <w:rPr>
                <w:rFonts w:hint="eastAsia" w:ascii="宋体" w:hAnsi="宋体" w:eastAsia="宋体" w:cs="宋体"/>
                <w:b/>
                <w:bCs/>
                <w:color w:val="000000" w:themeColor="text1"/>
                <w:sz w:val="24"/>
                <w:szCs w:val="24"/>
                <w:highlight w:val="none"/>
                <w14:textFill>
                  <w14:solidFill>
                    <w14:schemeClr w14:val="tx1"/>
                  </w14:solidFill>
                </w14:textFill>
              </w:rPr>
              <w:t xml:space="preserve">或提供不全不得分。</w:t>
            </w:r>
            <w:r/>
          </w:p>
        </w:tc>
      </w:tr>
      <w:tr>
        <w:trPr>
          <w:cantSplit/>
          <w:trHeight w:val="567"/>
        </w:trPr>
        <w:tc>
          <w:tcPr>
            <w:tcW w:w="1245" w:type="dxa"/>
            <w:vAlign w:val="center"/>
            <w:vMerge w:val="restart"/>
            <w:textDirection w:val="lrTb"/>
            <w:noWrap w:val="false"/>
          </w:tcPr>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服务方案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W w:w="1695" w:type="dxa"/>
            <w:vAlign w:val="center"/>
            <w:textDirection w:val="lrTb"/>
            <w:noWrap w:val="false"/>
          </w:tcPr>
          <w:p>
            <w:pPr>
              <w:pStyle w:val="1073"/>
              <w:jc w:val="cente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食品出品方案</w:t>
            </w:r>
            <w:r/>
          </w:p>
          <w:p>
            <w:pPr>
              <w:pStyle w:val="1073"/>
              <w:jc w:val="center"/>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7215" w:type="dxa"/>
            <w:vAlign w:val="center"/>
            <w:textDirection w:val="lrTb"/>
            <w:noWrap w:val="false"/>
          </w:tcPr>
          <w:p>
            <w:pPr>
              <w:pStyle w:val="103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根据投标人提供的食品出品方案，</w:t>
            </w:r>
            <w:r>
              <w:rPr>
                <w:rFonts w:ascii="宋体" w:hAnsi="宋体"/>
                <w:color w:val="000000" w:themeColor="text1"/>
                <w:sz w:val="24"/>
                <w:highlight w:val="none"/>
                <w14:textFill>
                  <w14:solidFill>
                    <w14:schemeClr w14:val="tx1"/>
                  </w14:solidFill>
                </w14:textFill>
              </w:rPr>
              <w:t xml:space="preserve">对</w:t>
            </w:r>
            <w:r>
              <w:rPr>
                <w:rFonts w:hint="eastAsia" w:ascii="宋体" w:hAnsi="宋体"/>
                <w:color w:val="000000" w:themeColor="text1"/>
                <w:sz w:val="24"/>
                <w:highlight w:val="none"/>
                <w:lang w:val="en-US" w:eastAsia="zh-CN"/>
                <w14:textFill>
                  <w14:solidFill>
                    <w14:schemeClr w14:val="tx1"/>
                  </w14:solidFill>
                </w14:textFill>
              </w:rPr>
              <w:t xml:space="preserve">食品出品方案</w:t>
            </w:r>
            <w:r>
              <w:rPr>
                <w:rFonts w:ascii="宋体" w:hAnsi="宋体"/>
                <w:color w:val="000000" w:themeColor="text1"/>
                <w:sz w:val="24"/>
                <w:highlight w:val="none"/>
                <w14:textFill>
                  <w14:solidFill>
                    <w14:schemeClr w14:val="tx1"/>
                  </w14:solidFill>
                </w14:textFill>
              </w:rPr>
              <w:t xml:space="preserve">内容的全面性、可行性、针对性进行评价。</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内容的全面性（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分）：全面具体详实得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分；较全面得2分；存在漏项或缺陷得1分。</w:t>
            </w:r>
            <w:r/>
          </w:p>
          <w:p>
            <w:pPr>
              <w:pStyle w:val="1036"/>
              <w:rPr>
                <w:rFonts w:hint="eastAsia" w:ascii="宋体" w:hAns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hint="eastAsia" w:ascii="宋体" w:hAnsi="宋体"/>
                <w:color w:val="000000" w:themeColor="text1"/>
                <w:sz w:val="24"/>
                <w:highlight w:val="none"/>
                <w14:textFill>
                  <w14:solidFill>
                    <w14:schemeClr w14:val="tx1"/>
                  </w14:solidFill>
                </w14:textFill>
              </w:rPr>
              <w:t xml:space="preserve">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36"/>
              <w:rPr>
                <w:rFonts w:hint="eastAsia" w:ascii="宋体" w:hAns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分）：针对性强得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ascii="宋体" w:hAnsi="宋体"/>
                <w:color w:val="000000" w:themeColor="text1"/>
                <w:sz w:val="24"/>
                <w:highlight w:val="none"/>
                <w14:textFill>
                  <w14:solidFill>
                    <w14:schemeClr w14:val="tx1"/>
                  </w14:solidFill>
                </w14:textFill>
              </w:rPr>
              <w:t xml:space="preserve">强得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73"/>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，最低得0分</w:t>
            </w:r>
            <w:r>
              <w:rPr>
                <w:rFonts w:hint="eastAsia" w:ascii="宋体" w:hAnsi="宋体"/>
                <w:color w:val="000000" w:themeColor="text1"/>
                <w:sz w:val="24"/>
                <w:highlight w:val="none"/>
                <w14:textFill>
                  <w14:solidFill>
                    <w14:schemeClr w14:val="tx1"/>
                  </w14:solidFill>
                </w14:textFill>
              </w:rPr>
              <w:t xml:space="preserve">。</w:t>
            </w:r>
            <w:r/>
          </w:p>
        </w:tc>
      </w:tr>
      <w:tr>
        <w:trPr>
          <w:cantSplit/>
          <w:trHeight w:val="567"/>
        </w:trPr>
        <w:tc>
          <w:tcPr>
            <w:tcW w:w="1245" w:type="dxa"/>
            <w:vAlign w:val="center"/>
            <w:vMerge w:val="continue"/>
            <w:textDirection w:val="lrTb"/>
            <w:noWrap w:val="false"/>
          </w:tcPr>
          <w:p>
            <w:pPr>
              <w:pStyle w:val="1075"/>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shd w:val="clear" w:color="auto" w:fill="auto"/>
            <w:tcW w:w="1695" w:type="dxa"/>
            <w:vAlign w:val="center"/>
            <w:textDirection w:val="lrTb"/>
            <w:noWrap w:val="false"/>
          </w:tcPr>
          <w:p>
            <w:pPr>
              <w:pStyle w:val="1073"/>
              <w:jc w:val="cente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服务质量方案</w:t>
            </w:r>
            <w:r/>
          </w:p>
          <w:p>
            <w:pPr>
              <w:pStyle w:val="1073"/>
              <w:jc w:val="center"/>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7215" w:type="dxa"/>
            <w:vAlign w:val="center"/>
            <w:textDirection w:val="lrTb"/>
            <w:noWrap w:val="false"/>
          </w:tcPr>
          <w:p>
            <w:pPr>
              <w:pStyle w:val="103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根据投标人提供的服务质量方案，</w:t>
            </w:r>
            <w:r>
              <w:rPr>
                <w:rFonts w:ascii="宋体" w:hAnsi="宋体"/>
                <w:color w:val="000000" w:themeColor="text1"/>
                <w:sz w:val="24"/>
                <w:highlight w:val="none"/>
                <w14:textFill>
                  <w14:solidFill>
                    <w14:schemeClr w14:val="tx1"/>
                  </w14:solidFill>
                </w14:textFill>
              </w:rPr>
              <w:t xml:space="preserve">对</w:t>
            </w:r>
            <w:r>
              <w:rPr>
                <w:rFonts w:hint="eastAsia" w:ascii="宋体" w:hAnsi="宋体"/>
                <w:color w:val="000000" w:themeColor="text1"/>
                <w:sz w:val="24"/>
                <w:highlight w:val="none"/>
                <w:lang w:val="en-US" w:eastAsia="zh-CN"/>
                <w14:textFill>
                  <w14:solidFill>
                    <w14:schemeClr w14:val="tx1"/>
                  </w14:solidFill>
                </w14:textFill>
              </w:rPr>
              <w:t xml:space="preserve">服务质量方案</w:t>
            </w:r>
            <w:r>
              <w:rPr>
                <w:rFonts w:ascii="宋体" w:hAnsi="宋体"/>
                <w:color w:val="000000" w:themeColor="text1"/>
                <w:sz w:val="24"/>
                <w:highlight w:val="none"/>
                <w14:textFill>
                  <w14:solidFill>
                    <w14:schemeClr w14:val="tx1"/>
                  </w14:solidFill>
                </w14:textFill>
              </w:rPr>
              <w:t xml:space="preserve">内容的全面性、可行性、针对性进行评价。</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内容的全面性（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分）：全面具体详实得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分；较全面得2分；存在漏项或缺陷得1分。</w:t>
            </w:r>
            <w:r/>
          </w:p>
          <w:p>
            <w:pPr>
              <w:pStyle w:val="1036"/>
              <w:rPr>
                <w:rFonts w:hint="eastAsia" w:ascii="宋体" w:hAns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hint="eastAsia" w:ascii="宋体" w:hAnsi="宋体"/>
                <w:color w:val="000000" w:themeColor="text1"/>
                <w:sz w:val="24"/>
                <w:highlight w:val="none"/>
                <w14:textFill>
                  <w14:solidFill>
                    <w14:schemeClr w14:val="tx1"/>
                  </w14:solidFill>
                </w14:textFill>
              </w:rPr>
              <w:t xml:space="preserve">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分）：针对性强得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ascii="宋体" w:hAnsi="宋体"/>
                <w:color w:val="000000" w:themeColor="text1"/>
                <w:sz w:val="24"/>
                <w:highlight w:val="none"/>
                <w14:textFill>
                  <w14:solidFill>
                    <w14:schemeClr w14:val="tx1"/>
                  </w14:solidFill>
                </w14:textFill>
              </w:rPr>
              <w:t xml:space="preserve">强得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73"/>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，最低得0分</w:t>
            </w:r>
            <w:r>
              <w:rPr>
                <w:rFonts w:hint="eastAsia" w:ascii="宋体" w:hAnsi="宋体"/>
                <w:color w:val="000000" w:themeColor="text1"/>
                <w:sz w:val="24"/>
                <w:highlight w:val="none"/>
                <w14:textFill>
                  <w14:solidFill>
                    <w14:schemeClr w14:val="tx1"/>
                  </w14:solidFill>
                </w14:textFill>
              </w:rPr>
              <w:t xml:space="preserve">。</w:t>
            </w:r>
            <w:r/>
          </w:p>
        </w:tc>
      </w:tr>
      <w:tr>
        <w:trPr>
          <w:cantSplit/>
          <w:trHeight w:val="567"/>
        </w:trPr>
        <w:tc>
          <w:tcPr>
            <w:tcW w:w="1245" w:type="dxa"/>
            <w:vMerge w:val="continue"/>
            <w:textDirection w:val="lrTb"/>
            <w:noWrap w:val="false"/>
          </w:tcPr>
          <w:p>
            <w:pPr>
              <w:pStyle w:val="1075"/>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shd w:val="clear" w:color="auto" w:fill="auto"/>
            <w:tcW w:w="1695" w:type="dxa"/>
            <w:vAlign w:val="center"/>
            <w:textDirection w:val="lrTb"/>
            <w:noWrap w:val="false"/>
          </w:tcPr>
          <w:p>
            <w:pPr>
              <w:pStyle w:val="1073"/>
              <w:jc w:val="cente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食品安全方案</w:t>
            </w:r>
            <w:r/>
          </w:p>
          <w:p>
            <w:pPr>
              <w:pStyle w:val="1073"/>
              <w:jc w:val="center"/>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7215" w:type="dxa"/>
            <w:vAlign w:val="center"/>
            <w:textDirection w:val="lrTb"/>
            <w:noWrap w:val="false"/>
          </w:tcPr>
          <w:p>
            <w:pPr>
              <w:pStyle w:val="103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根据投标人提供的</w:t>
            </w:r>
            <w:r>
              <w:rPr>
                <w:rFonts w:hint="eastAsia" w:ascii="宋体" w:hAnsi="宋体" w:cs="宋体"/>
                <w:color w:val="000000" w:themeColor="text1"/>
                <w:sz w:val="24"/>
                <w:highlight w:val="none"/>
                <w14:textFill>
                  <w14:solidFill>
                    <w14:schemeClr w14:val="tx1"/>
                  </w14:solidFill>
                </w14:textFill>
              </w:rPr>
              <w:t xml:space="preserve">食品安全方案</w:t>
            </w:r>
            <w:r>
              <w:rPr>
                <w:rFonts w:hint="eastAsia" w:ascii="宋体" w:hAnsi="宋体"/>
                <w:color w:val="000000" w:themeColor="text1"/>
                <w:sz w:val="24"/>
                <w:highlight w:val="none"/>
                <w:lang w:val="en-US"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14:textFill>
                  <w14:solidFill>
                    <w14:schemeClr w14:val="tx1"/>
                  </w14:solidFill>
                </w14:textFill>
              </w:rPr>
              <w:t xml:space="preserve">食品安全方案</w:t>
            </w:r>
            <w:r>
              <w:rPr>
                <w:rFonts w:ascii="宋体" w:hAnsi="宋体"/>
                <w:color w:val="000000" w:themeColor="text1"/>
                <w:sz w:val="24"/>
                <w:highlight w:val="none"/>
                <w14:textFill>
                  <w14:solidFill>
                    <w14:schemeClr w14:val="tx1"/>
                  </w14:solidFill>
                </w14:textFill>
              </w:rPr>
              <w:t xml:space="preserve">内容的全面性、可行性、针对性进行评价。</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内容的全面性（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分）：全面具体详实得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分；较全面得2分；存在漏项或缺陷得1分。</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hint="eastAsia" w:ascii="宋体" w:hAnsi="宋体"/>
                <w:color w:val="000000" w:themeColor="text1"/>
                <w:sz w:val="24"/>
                <w:highlight w:val="none"/>
                <w14:textFill>
                  <w14:solidFill>
                    <w14:schemeClr w14:val="tx1"/>
                  </w14:solidFill>
                </w14:textFill>
              </w:rPr>
              <w:t xml:space="preserve">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分）：针对性强得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ascii="宋体" w:hAnsi="宋体"/>
                <w:color w:val="000000" w:themeColor="text1"/>
                <w:sz w:val="24"/>
                <w:highlight w:val="none"/>
                <w14:textFill>
                  <w14:solidFill>
                    <w14:schemeClr w14:val="tx1"/>
                  </w14:solidFill>
                </w14:textFill>
              </w:rPr>
              <w:t xml:space="preserve">强得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75"/>
              <w:spacing w:line="440" w:lineRule="exact"/>
              <w:rPr>
                <w:rFonts w:hint="eastAsia" w:ascii="宋体" w:hAnsi="宋体" w:eastAsia="宋体" w:cs="Times New Roman"/>
                <w:color w:val="000000" w:themeColor="text1"/>
                <w:sz w:val="24"/>
                <w:highlight w:val="none"/>
                <w:lang w:val="en-US" w:eastAsia="zh-CN" w:bidi="ar-SA"/>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，最低得0分</w:t>
            </w:r>
            <w:r>
              <w:rPr>
                <w:rFonts w:hint="eastAsia" w:ascii="宋体" w:hAnsi="宋体"/>
                <w:color w:val="000000" w:themeColor="text1"/>
                <w:sz w:val="24"/>
                <w:highlight w:val="none"/>
                <w14:textFill>
                  <w14:solidFill>
                    <w14:schemeClr w14:val="tx1"/>
                  </w14:solidFill>
                </w14:textFill>
              </w:rPr>
              <w:t xml:space="preserve">。</w:t>
            </w:r>
            <w:r/>
          </w:p>
        </w:tc>
      </w:tr>
      <w:tr>
        <w:trPr>
          <w:cantSplit/>
          <w:trHeight w:val="567"/>
        </w:trPr>
        <w:tc>
          <w:tcPr>
            <w:tcW w:w="1245" w:type="dxa"/>
            <w:vMerge w:val="continue"/>
            <w:textDirection w:val="lrTb"/>
            <w:noWrap w:val="false"/>
          </w:tcPr>
          <w:p>
            <w:pPr>
              <w:pStyle w:val="1075"/>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shd w:val="clear" w:color="auto" w:fill="auto"/>
            <w:tcW w:w="1695" w:type="dxa"/>
            <w:vAlign w:val="center"/>
            <w:textDirection w:val="lrTb"/>
            <w:noWrap w:val="false"/>
          </w:tcPr>
          <w:p>
            <w:pPr>
              <w:pStyle w:val="1152"/>
              <w:ind w:left="0"/>
              <w:jc w:val="center"/>
              <w:spacing w:after="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食品保存方案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7215" w:type="dxa"/>
            <w:vAlign w:val="center"/>
            <w:textDirection w:val="lrTb"/>
            <w:noWrap w:val="false"/>
          </w:tcPr>
          <w:p>
            <w:pPr>
              <w:pStyle w:val="103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根据投标人提供的</w:t>
            </w:r>
            <w:r>
              <w:rPr>
                <w:rFonts w:hint="eastAsia" w:ascii="宋体" w:hAnsi="宋体" w:cs="宋体"/>
                <w:color w:val="000000" w:themeColor="text1"/>
                <w:sz w:val="24"/>
                <w:highlight w:val="none"/>
                <w14:textFill>
                  <w14:solidFill>
                    <w14:schemeClr w14:val="tx1"/>
                  </w14:solidFill>
                </w14:textFill>
              </w:rPr>
              <w:t xml:space="preserve">食品保存方案</w:t>
            </w:r>
            <w:r>
              <w:rPr>
                <w:rFonts w:hint="eastAsia" w:ascii="宋体" w:hAnsi="宋体"/>
                <w:color w:val="000000" w:themeColor="text1"/>
                <w:sz w:val="24"/>
                <w:highlight w:val="none"/>
                <w:lang w:val="en-US"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14:textFill>
                  <w14:solidFill>
                    <w14:schemeClr w14:val="tx1"/>
                  </w14:solidFill>
                </w14:textFill>
              </w:rPr>
              <w:t xml:space="preserve">食品保存方案</w:t>
            </w:r>
            <w:r>
              <w:rPr>
                <w:rFonts w:ascii="宋体" w:hAnsi="宋体"/>
                <w:color w:val="000000" w:themeColor="text1"/>
                <w:sz w:val="24"/>
                <w:highlight w:val="none"/>
                <w14:textFill>
                  <w14:solidFill>
                    <w14:schemeClr w14:val="tx1"/>
                  </w14:solidFill>
                </w14:textFill>
              </w:rPr>
              <w:t xml:space="preserve">内容的全面性、可行性、针对性进行评价。</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内容的全面性（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分）：全面具体详实得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分；较全面得2分；存在漏项或缺陷得1分。</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hint="eastAsia" w:ascii="宋体" w:hAnsi="宋体"/>
                <w:color w:val="000000" w:themeColor="text1"/>
                <w:sz w:val="24"/>
                <w:highlight w:val="none"/>
                <w14:textFill>
                  <w14:solidFill>
                    <w14:schemeClr w14:val="tx1"/>
                  </w14:solidFill>
                </w14:textFill>
              </w:rPr>
              <w:t xml:space="preserve">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分）：针对性强得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ascii="宋体" w:hAnsi="宋体"/>
                <w:color w:val="000000" w:themeColor="text1"/>
                <w:sz w:val="24"/>
                <w:highlight w:val="none"/>
                <w14:textFill>
                  <w14:solidFill>
                    <w14:schemeClr w14:val="tx1"/>
                  </w14:solidFill>
                </w14:textFill>
              </w:rPr>
              <w:t xml:space="preserve">强得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152"/>
              <w:ind w:left="0"/>
              <w:spacing w:after="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，最低得0分</w:t>
            </w:r>
            <w:r>
              <w:rPr>
                <w:rFonts w:hint="eastAsia" w:ascii="宋体" w:hAnsi="宋体"/>
                <w:color w:val="000000" w:themeColor="text1"/>
                <w:sz w:val="24"/>
                <w:highlight w:val="none"/>
                <w14:textFill>
                  <w14:solidFill>
                    <w14:schemeClr w14:val="tx1"/>
                  </w14:solidFill>
                </w14:textFill>
              </w:rPr>
              <w:t xml:space="preserve">。</w:t>
            </w:r>
            <w:r/>
          </w:p>
        </w:tc>
      </w:tr>
      <w:tr>
        <w:trPr>
          <w:cantSplit/>
          <w:trHeight w:val="567"/>
        </w:trPr>
        <w:tc>
          <w:tcPr>
            <w:tcW w:w="1245" w:type="dxa"/>
            <w:vMerge w:val="continue"/>
            <w:textDirection w:val="lrTb"/>
            <w:noWrap w:val="false"/>
          </w:tcPr>
          <w:p>
            <w:pPr>
              <w:pStyle w:val="1075"/>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shd w:val="clear" w:color="auto" w:fill="auto"/>
            <w:tcW w:w="1695" w:type="dxa"/>
            <w:vAlign w:val="center"/>
            <w:textDirection w:val="lrTb"/>
            <w:noWrap w:val="false"/>
          </w:tcPr>
          <w:p>
            <w:pPr>
              <w:pStyle w:val="1073"/>
              <w:jc w:val="cente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食品成本控制方案</w:t>
            </w:r>
            <w:r/>
          </w:p>
          <w:p>
            <w:pPr>
              <w:pStyle w:val="1073"/>
              <w:jc w:val="center"/>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w:t>
            </w:r>
            <w:r/>
          </w:p>
        </w:tc>
        <w:tc>
          <w:tcPr>
            <w:shd w:val="clear" w:color="auto" w:fill="auto"/>
            <w:tcW w:w="7215" w:type="dxa"/>
            <w:vAlign w:val="center"/>
            <w:textDirection w:val="lrTb"/>
            <w:noWrap w:val="false"/>
          </w:tcPr>
          <w:p>
            <w:pPr>
              <w:pStyle w:val="103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根据投标人提供的</w:t>
            </w:r>
            <w:r>
              <w:rPr>
                <w:rFonts w:hint="eastAsia" w:ascii="宋体" w:hAnsi="宋体" w:cs="宋体"/>
                <w:color w:val="000000" w:themeColor="text1"/>
                <w:sz w:val="24"/>
                <w:highlight w:val="none"/>
                <w14:textFill>
                  <w14:solidFill>
                    <w14:schemeClr w14:val="tx1"/>
                  </w14:solidFill>
                </w14:textFill>
              </w:rPr>
              <w:t xml:space="preserve">食品成本控制方案</w:t>
            </w:r>
            <w:r>
              <w:rPr>
                <w:rFonts w:hint="eastAsia" w:ascii="宋体" w:hAnsi="宋体"/>
                <w:color w:val="000000" w:themeColor="text1"/>
                <w:sz w:val="24"/>
                <w:highlight w:val="none"/>
                <w:lang w:val="en-US"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14:textFill>
                  <w14:solidFill>
                    <w14:schemeClr w14:val="tx1"/>
                  </w14:solidFill>
                </w14:textFill>
              </w:rPr>
              <w:t xml:space="preserve">食品成本控制方案</w:t>
            </w:r>
            <w:r>
              <w:rPr>
                <w:rFonts w:ascii="宋体" w:hAnsi="宋体"/>
                <w:color w:val="000000" w:themeColor="text1"/>
                <w:sz w:val="24"/>
                <w:highlight w:val="none"/>
                <w14:textFill>
                  <w14:solidFill>
                    <w14:schemeClr w14:val="tx1"/>
                  </w14:solidFill>
                </w14:textFill>
              </w:rPr>
              <w:t xml:space="preserve">内容的全面性、可行性、针对性进行评价。</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内容的全面性（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分）：全面具体详实得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分；较全面得2分；存在漏项或缺陷得1分。</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hint="eastAsia" w:ascii="宋体" w:hAnsi="宋体"/>
                <w:color w:val="000000" w:themeColor="text1"/>
                <w:sz w:val="24"/>
                <w:highlight w:val="none"/>
                <w14:textFill>
                  <w14:solidFill>
                    <w14:schemeClr w14:val="tx1"/>
                  </w14:solidFill>
                </w14:textFill>
              </w:rPr>
              <w:t xml:space="preserve">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分）：针对性强得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ascii="宋体" w:hAnsi="宋体"/>
                <w:color w:val="000000" w:themeColor="text1"/>
                <w:sz w:val="24"/>
                <w:highlight w:val="none"/>
                <w14:textFill>
                  <w14:solidFill>
                    <w14:schemeClr w14:val="tx1"/>
                  </w14:solidFill>
                </w14:textFill>
              </w:rPr>
              <w:t xml:space="preserve">强得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73"/>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，最低得0分</w:t>
            </w:r>
            <w:r>
              <w:rPr>
                <w:rFonts w:hint="eastAsia" w:ascii="宋体" w:hAnsi="宋体" w:cs="宋体"/>
                <w:color w:val="000000" w:themeColor="text1"/>
                <w:sz w:val="24"/>
                <w:highlight w:val="none"/>
                <w14:textFill>
                  <w14:solidFill>
                    <w14:schemeClr w14:val="tx1"/>
                  </w14:solidFill>
                </w14:textFill>
              </w:rPr>
              <w:t xml:space="preserve">。</w:t>
            </w:r>
            <w:r/>
          </w:p>
        </w:tc>
      </w:tr>
      <w:tr>
        <w:trPr>
          <w:cantSplit/>
          <w:trHeight w:val="844"/>
        </w:trPr>
        <w:tc>
          <w:tcPr>
            <w:tcW w:w="1245" w:type="dxa"/>
            <w:vMerge w:val="continue"/>
            <w:textDirection w:val="lrTb"/>
            <w:noWrap w:val="false"/>
          </w:tcPr>
          <w:p>
            <w:pPr>
              <w:pStyle w:val="1075"/>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shd w:val="clear" w:color="auto" w:fill="auto"/>
            <w:tcW w:w="1695" w:type="dxa"/>
            <w:vAlign w:val="center"/>
            <w:textDirection w:val="lrTb"/>
            <w:noWrap w:val="false"/>
          </w:tcPr>
          <w:p>
            <w:pPr>
              <w:pStyle w:val="1073"/>
              <w:jc w:val="cente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卫生管理方案</w:t>
            </w:r>
            <w:r/>
          </w:p>
          <w:p>
            <w:pPr>
              <w:pStyle w:val="1073"/>
              <w:jc w:val="center"/>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（人员卫生，环境卫生，垃圾处理、餐厅环境管理方案等）（</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w:t>
            </w:r>
            <w:r/>
          </w:p>
        </w:tc>
        <w:tc>
          <w:tcPr>
            <w:shd w:val="clear" w:color="auto" w:fill="auto"/>
            <w:tcW w:w="7215" w:type="dxa"/>
            <w:vAlign w:val="center"/>
            <w:textDirection w:val="lrTb"/>
            <w:noWrap w:val="false"/>
          </w:tcPr>
          <w:p>
            <w:pPr>
              <w:pStyle w:val="103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根据投标人提供的</w:t>
            </w:r>
            <w:r>
              <w:rPr>
                <w:rFonts w:hint="eastAsia" w:ascii="宋体" w:hAnsi="宋体" w:cs="宋体"/>
                <w:color w:val="000000" w:themeColor="text1"/>
                <w:sz w:val="24"/>
                <w:highlight w:val="none"/>
                <w14:textFill>
                  <w14:solidFill>
                    <w14:schemeClr w14:val="tx1"/>
                  </w14:solidFill>
                </w14:textFill>
              </w:rPr>
              <w:t xml:space="preserve">卫生管理方案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包括但不限于</w:t>
            </w:r>
            <w:r>
              <w:rPr>
                <w:rFonts w:hint="eastAsia" w:ascii="宋体" w:hAnsi="宋体" w:cs="宋体"/>
                <w:color w:val="000000" w:themeColor="text1"/>
                <w:sz w:val="24"/>
                <w:highlight w:val="none"/>
                <w14:textFill>
                  <w14:solidFill>
                    <w14:schemeClr w14:val="tx1"/>
                  </w14:solidFill>
                </w14:textFill>
              </w:rPr>
              <w:t xml:space="preserve">人员卫生，环境卫生，垃圾处理、餐厅环境管理方案等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14:textFill>
                  <w14:solidFill>
                    <w14:schemeClr w14:val="tx1"/>
                  </w14:solidFill>
                </w14:textFill>
              </w:rPr>
              <w:t xml:space="preserve">卫生管理方案</w:t>
            </w:r>
            <w:r>
              <w:rPr>
                <w:rFonts w:ascii="宋体" w:hAnsi="宋体"/>
                <w:color w:val="000000" w:themeColor="text1"/>
                <w:sz w:val="24"/>
                <w:highlight w:val="none"/>
                <w14:textFill>
                  <w14:solidFill>
                    <w14:schemeClr w14:val="tx1"/>
                  </w14:solidFill>
                </w14:textFill>
              </w:rPr>
              <w:t xml:space="preserve">内容的全面性、可行性、针对性进行评价。</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内容的全面性（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分）：全面具体详实得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分；较全面得2分；存在漏项或缺陷得1分。</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hint="eastAsia" w:ascii="宋体" w:hAnsi="宋体"/>
                <w:color w:val="000000" w:themeColor="text1"/>
                <w:sz w:val="24"/>
                <w:highlight w:val="none"/>
                <w14:textFill>
                  <w14:solidFill>
                    <w14:schemeClr w14:val="tx1"/>
                  </w14:solidFill>
                </w14:textFill>
              </w:rPr>
              <w:t xml:space="preserve">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分）：针对性强得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ascii="宋体" w:hAnsi="宋体"/>
                <w:color w:val="000000" w:themeColor="text1"/>
                <w:sz w:val="24"/>
                <w:highlight w:val="none"/>
                <w14:textFill>
                  <w14:solidFill>
                    <w14:schemeClr w14:val="tx1"/>
                  </w14:solidFill>
                </w14:textFill>
              </w:rPr>
              <w:t xml:space="preserve">强得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73"/>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，最低得0分</w:t>
            </w:r>
            <w:r>
              <w:rPr>
                <w:rFonts w:hint="eastAsia" w:ascii="宋体" w:hAnsi="宋体"/>
                <w:color w:val="000000" w:themeColor="text1"/>
                <w:sz w:val="24"/>
                <w:highlight w:val="none"/>
                <w14:textFill>
                  <w14:solidFill>
                    <w14:schemeClr w14:val="tx1"/>
                  </w14:solidFill>
                </w14:textFill>
              </w:rPr>
              <w:t xml:space="preserve">。</w:t>
            </w:r>
            <w:r/>
          </w:p>
        </w:tc>
      </w:tr>
      <w:tr>
        <w:trPr>
          <w:cantSplit/>
          <w:trHeight w:val="850"/>
        </w:trPr>
        <w:tc>
          <w:tcPr>
            <w:tcW w:w="1245" w:type="dxa"/>
            <w:vMerge w:val="continue"/>
            <w:textDirection w:val="lrTb"/>
            <w:noWrap w:val="false"/>
          </w:tcPr>
          <w:p>
            <w:pPr>
              <w:pStyle w:val="1075"/>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shd w:val="clear" w:color="auto" w:fill="auto"/>
            <w:tcW w:w="1695" w:type="dxa"/>
            <w:vAlign w:val="center"/>
            <w:textDirection w:val="lrTb"/>
            <w:noWrap w:val="false"/>
          </w:tcPr>
          <w:p>
            <w:pPr>
              <w:pStyle w:val="1073"/>
              <w:jc w:val="center"/>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消防安全方案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7215" w:type="dxa"/>
            <w:vAlign w:val="center"/>
            <w:textDirection w:val="lrTb"/>
            <w:noWrap w:val="false"/>
          </w:tcPr>
          <w:p>
            <w:pPr>
              <w:pStyle w:val="103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根据投标人提供的</w:t>
            </w:r>
            <w:r>
              <w:rPr>
                <w:rFonts w:hint="eastAsia" w:ascii="宋体" w:hAnsi="宋体" w:cs="宋体"/>
                <w:color w:val="000000" w:themeColor="text1"/>
                <w:sz w:val="24"/>
                <w:highlight w:val="none"/>
                <w14:textFill>
                  <w14:solidFill>
                    <w14:schemeClr w14:val="tx1"/>
                  </w14:solidFill>
                </w14:textFill>
              </w:rPr>
              <w:t xml:space="preserve">消防安全方案</w:t>
            </w:r>
            <w:r>
              <w:rPr>
                <w:rFonts w:hint="eastAsia" w:ascii="宋体" w:hAnsi="宋体"/>
                <w:color w:val="000000" w:themeColor="text1"/>
                <w:sz w:val="24"/>
                <w:highlight w:val="none"/>
                <w:lang w:val="en-US"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对</w:t>
            </w:r>
            <w:r>
              <w:rPr>
                <w:rFonts w:hint="eastAsia" w:ascii="宋体" w:hAnsi="宋体"/>
                <w:color w:val="000000" w:themeColor="text1"/>
                <w:sz w:val="24"/>
                <w:highlight w:val="none"/>
                <w14:textFill>
                  <w14:solidFill>
                    <w14:schemeClr w14:val="tx1"/>
                  </w14:solidFill>
                </w14:textFill>
              </w:rPr>
              <w:t xml:space="preserve">用火、用电、用水、燃气使用安全控制</w:t>
            </w:r>
            <w:r>
              <w:rPr>
                <w:rFonts w:ascii="宋体" w:hAnsi="宋体"/>
                <w:color w:val="000000" w:themeColor="text1"/>
                <w:sz w:val="24"/>
                <w:highlight w:val="none"/>
                <w14:textFill>
                  <w14:solidFill>
                    <w14:schemeClr w14:val="tx1"/>
                  </w14:solidFill>
                </w14:textFill>
              </w:rPr>
              <w:t xml:space="preserve">方案内容的全面性、可行性、针对性进行评价。</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内容的全面性（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分）：全面具体详实得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分；较全面得2分；存在漏项或缺陷得1分。</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hint="eastAsia" w:ascii="宋体" w:hAnsi="宋体"/>
                <w:color w:val="000000" w:themeColor="text1"/>
                <w:sz w:val="24"/>
                <w:highlight w:val="none"/>
                <w14:textFill>
                  <w14:solidFill>
                    <w14:schemeClr w14:val="tx1"/>
                  </w14:solidFill>
                </w14:textFill>
              </w:rPr>
              <w:t xml:space="preserve">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分）：针对性强得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ascii="宋体" w:hAnsi="宋体"/>
                <w:color w:val="000000" w:themeColor="text1"/>
                <w:sz w:val="24"/>
                <w:highlight w:val="none"/>
                <w14:textFill>
                  <w14:solidFill>
                    <w14:schemeClr w14:val="tx1"/>
                  </w14:solidFill>
                </w14:textFill>
              </w:rPr>
              <w:t xml:space="preserve">强得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73"/>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，最低得0分</w:t>
            </w:r>
            <w:r>
              <w:rPr>
                <w:rFonts w:hint="eastAsia" w:ascii="宋体" w:hAnsi="宋体"/>
                <w:color w:val="000000" w:themeColor="text1"/>
                <w:sz w:val="24"/>
                <w:highlight w:val="none"/>
                <w14:textFill>
                  <w14:solidFill>
                    <w14:schemeClr w14:val="tx1"/>
                  </w14:solidFill>
                </w14:textFill>
              </w:rPr>
              <w:t xml:space="preserve">。</w:t>
            </w:r>
            <w:r/>
          </w:p>
        </w:tc>
      </w:tr>
      <w:tr>
        <w:trPr>
          <w:cantSplit/>
          <w:trHeight w:val="850"/>
        </w:trPr>
        <w:tc>
          <w:tcPr>
            <w:tcW w:w="1245" w:type="dxa"/>
            <w:vMerge w:val="continue"/>
            <w:textDirection w:val="lrTb"/>
            <w:noWrap w:val="false"/>
          </w:tcPr>
          <w:p>
            <w:pPr>
              <w:pStyle w:val="1075"/>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shd w:val="clear" w:color="auto" w:fill="auto"/>
            <w:tcW w:w="1695" w:type="dxa"/>
            <w:vAlign w:val="center"/>
            <w:textDirection w:val="lrTb"/>
            <w:noWrap w:val="false"/>
          </w:tcPr>
          <w:p>
            <w:pPr>
              <w:pStyle w:val="1073"/>
              <w:jc w:val="cente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应急处理方案</w:t>
            </w:r>
            <w:r/>
          </w:p>
          <w:p>
            <w:pPr>
              <w:pStyle w:val="1073"/>
              <w:jc w:val="center"/>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分）</w:t>
            </w:r>
            <w:r/>
          </w:p>
        </w:tc>
        <w:tc>
          <w:tcPr>
            <w:shd w:val="clear" w:color="auto" w:fill="auto"/>
            <w:tcW w:w="7215" w:type="dxa"/>
            <w:vAlign w:val="center"/>
            <w:textDirection w:val="lrTb"/>
            <w:noWrap w:val="false"/>
          </w:tcPr>
          <w:p>
            <w:pPr>
              <w:pStyle w:val="103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根据投标人提供的</w:t>
            </w:r>
            <w:r>
              <w:rPr>
                <w:rFonts w:hint="eastAsia" w:ascii="宋体" w:hAnsi="宋体" w:cs="宋体"/>
                <w:color w:val="000000" w:themeColor="text1"/>
                <w:sz w:val="24"/>
                <w:highlight w:val="none"/>
                <w14:textFill>
                  <w14:solidFill>
                    <w14:schemeClr w14:val="tx1"/>
                  </w14:solidFill>
                </w14:textFill>
              </w:rPr>
              <w:t xml:space="preserve">应急处理方案</w:t>
            </w:r>
            <w:r>
              <w:rPr>
                <w:rFonts w:hint="eastAsia" w:ascii="宋体" w:hAnsi="宋体"/>
                <w:color w:val="000000" w:themeColor="text1"/>
                <w:sz w:val="24"/>
                <w:highlight w:val="none"/>
                <w:lang w:val="en-US"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14:textFill>
                  <w14:solidFill>
                    <w14:schemeClr w14:val="tx1"/>
                  </w14:solidFill>
                </w14:textFill>
              </w:rPr>
              <w:t xml:space="preserve">应急处理方案</w:t>
            </w:r>
            <w:r>
              <w:rPr>
                <w:rFonts w:ascii="宋体" w:hAnsi="宋体"/>
                <w:color w:val="000000" w:themeColor="text1"/>
                <w:sz w:val="24"/>
                <w:highlight w:val="none"/>
                <w14:textFill>
                  <w14:solidFill>
                    <w14:schemeClr w14:val="tx1"/>
                  </w14:solidFill>
                </w14:textFill>
              </w:rPr>
              <w:t xml:space="preserve">内容的全面性、可行性、针对性进行评价。</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内容的全面性（</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分）：全面具体详实得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分；较全面得2分；存在漏项或缺陷得1分。</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hint="eastAsia" w:ascii="宋体" w:hAnsi="宋体"/>
                <w:color w:val="000000" w:themeColor="text1"/>
                <w:sz w:val="24"/>
                <w:highlight w:val="none"/>
                <w14:textFill>
                  <w14:solidFill>
                    <w14:schemeClr w14:val="tx1"/>
                  </w14:solidFill>
                </w14:textFill>
              </w:rPr>
              <w:t xml:space="preserve">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分；可行</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36"/>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分）：针对性强得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较</w:t>
            </w:r>
            <w:r>
              <w:rPr>
                <w:rFonts w:ascii="宋体" w:hAnsi="宋体"/>
                <w:color w:val="000000" w:themeColor="text1"/>
                <w:sz w:val="24"/>
                <w:highlight w:val="none"/>
                <w14:textFill>
                  <w14:solidFill>
                    <w14:schemeClr w14:val="tx1"/>
                  </w14:solidFill>
                </w14:textFill>
              </w:rPr>
              <w:t xml:space="preserve">强得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分；针对性</w:t>
            </w:r>
            <w:r>
              <w:rPr>
                <w:rFonts w:hint="eastAsia" w:ascii="宋体" w:hAnsi="宋体"/>
                <w:color w:val="000000" w:themeColor="text1"/>
                <w:sz w:val="24"/>
                <w:highlight w:val="none"/>
                <w:lang w:val="en-US" w:eastAsia="zh-CN"/>
                <w14:textFill>
                  <w14:solidFill>
                    <w14:schemeClr w14:val="tx1"/>
                  </w14:solidFill>
                </w14:textFill>
              </w:rPr>
              <w:t xml:space="preserve">欠缺</w:t>
            </w:r>
            <w:r>
              <w:rPr>
                <w:rFonts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p>
          <w:p>
            <w:pPr>
              <w:pStyle w:val="1073"/>
              <w:spacing w:line="440" w:lineRule="exact"/>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，最低得0分</w:t>
            </w:r>
            <w:r>
              <w:rPr>
                <w:rFonts w:hint="eastAsia" w:ascii="宋体" w:hAnsi="宋体"/>
                <w:color w:val="000000" w:themeColor="text1"/>
                <w:sz w:val="24"/>
                <w:highlight w:val="none"/>
                <w14:textFill>
                  <w14:solidFill>
                    <w14:schemeClr w14:val="tx1"/>
                  </w14:solidFill>
                </w14:textFill>
              </w:rPr>
              <w:t xml:space="preserve">。</w:t>
            </w:r>
            <w:r/>
          </w:p>
        </w:tc>
      </w:tr>
    </w:tbl>
    <w:p>
      <w:pPr>
        <w:pStyle w:val="1036"/>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本章说明：</w:t>
      </w:r>
      <w:r/>
    </w:p>
    <w:p>
      <w:pPr>
        <w:pStyle w:val="1036"/>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（一）本项目采用综合评分法，评分结果精确到小数点后两位。</w:t>
      </w:r>
      <w:r/>
    </w:p>
    <w:p>
      <w:pPr>
        <w:pStyle w:val="1036"/>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（二）采购人有权对中标人以上内容进行复核,如发现存在弄虚作假或其它不符招标文件要求的行为，将取消中标资格。</w:t>
      </w:r>
      <w:r/>
    </w:p>
    <w:p>
      <w:pPr>
        <w:jc w:val="center"/>
        <w:spacing w:line="276"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br w:type="page" w:clear="all"/>
      </w:r>
      <w:bookmarkStart w:id="8" w:name="_Toc3254"/>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第五章  采购需求</w:t>
      </w:r>
      <w:bookmarkEnd w:id="8"/>
      <w:r/>
      <w:r/>
    </w:p>
    <w:p>
      <w:pPr>
        <w:pStyle w:val="1075"/>
        <w:spacing w:line="360" w:lineRule="auto"/>
        <w:widowControl w:val="off"/>
        <w:rPr>
          <w:rFonts w:hint="eastAsia" w:ascii="Times New Roman" w:hAnsi="Times New Roman" w:eastAsia="宋体" w:cs="Times New Roman"/>
          <w:color w:val="000000" w:themeColor="text1"/>
          <w:sz w:val="24"/>
          <w:szCs w:val="24"/>
          <w:highlight w:val="none"/>
          <w14:textFill>
            <w14:solidFill>
              <w14:schemeClr w14:val="tx1"/>
            </w14:solidFill>
          </w14:textFill>
        </w:rPr>
        <w:outlineLvl w:val="0"/>
      </w:pPr>
      <w:r/>
      <w:bookmarkStart w:id="9" w:name="_Toc6448"/>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一、采购</w:t>
      </w:r>
      <w:r>
        <w:rPr>
          <w:rFonts w:hint="eastAsia" w:cs="Times New Roman"/>
          <w:b/>
          <w:bCs/>
          <w:color w:val="000000" w:themeColor="text1"/>
          <w:sz w:val="24"/>
          <w:szCs w:val="24"/>
          <w:highlight w:val="none"/>
          <w:lang w:val="en-US" w:eastAsia="zh-CN"/>
          <w14:textFill>
            <w14:solidFill>
              <w14:schemeClr w14:val="tx1"/>
            </w14:solidFill>
          </w14:textFill>
        </w:rPr>
        <w:t xml:space="preserve">项目</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徐州市公安局刑侦支队新警犬基地食堂服务</w:t>
      </w:r>
      <w:bookmarkEnd w:id="9"/>
      <w:r/>
      <w:r/>
    </w:p>
    <w:p>
      <w:pPr>
        <w:jc w:val="left"/>
        <w:spacing w:line="360" w:lineRule="auto"/>
        <w:widowControl/>
        <w:rPr>
          <w:rFonts w:hint="eastAsia"/>
          <w:b/>
          <w:bCs/>
          <w:color w:val="000000" w:themeColor="text1"/>
          <w:sz w:val="24"/>
          <w:szCs w:val="24"/>
          <w:highlight w:val="none"/>
          <w14:textFill>
            <w14:solidFill>
              <w14:schemeClr w14:val="tx1"/>
            </w14:solidFill>
          </w14:textFill>
        </w:rPr>
        <w:outlineLvl w:val="0"/>
      </w:pPr>
      <w:r/>
      <w:bookmarkStart w:id="10" w:name="_Toc7793"/>
      <w:r>
        <w:rPr>
          <w:rFonts w:hint="eastAsia"/>
          <w:b/>
          <w:bCs/>
          <w:color w:val="000000" w:themeColor="text1"/>
          <w:sz w:val="24"/>
          <w:szCs w:val="24"/>
          <w:highlight w:val="none"/>
          <w14:textFill>
            <w14:solidFill>
              <w14:schemeClr w14:val="tx1"/>
            </w14:solidFill>
          </w14:textFill>
        </w:rPr>
        <w:t xml:space="preserve">二、采购项目预算金额</w:t>
      </w:r>
      <w:r>
        <w:rPr>
          <w:rFonts w:hint="eastAsia"/>
          <w:b/>
          <w:bCs/>
          <w:color w:val="000000" w:themeColor="text1"/>
          <w:sz w:val="24"/>
          <w:szCs w:val="24"/>
          <w:highlight w:val="none"/>
          <w:lang w:eastAsia="zh-CN"/>
          <w14:textFill>
            <w14:solidFill>
              <w14:schemeClr w14:val="tx1"/>
            </w14:solidFill>
          </w14:textFill>
        </w:rPr>
        <w:t xml:space="preserve">：</w:t>
      </w:r>
      <w:bookmarkEnd w:id="10"/>
      <w:r/>
      <w:r/>
    </w:p>
    <w:p>
      <w:pPr>
        <w:pStyle w:val="1153"/>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本项目采购预算总金额</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78.12</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万</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元人民币</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不接受超过</w:t>
      </w:r>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78.125</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万元（采购项目预算金额）的投标报价。</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报价应包含以下各项费用：投标人所支付的如养老金（退休费）、医疗费、安全费、卫生费、福利费、教育费、保险费、体检费、劳保用品费、服装费、伙食费等国家规定或用工合同中注明的一切人员费用及材料、机械、统一服装、胸卡、通讯器材、办公设备、保险、利润、政策性文件规定及合同包含的所有风险、责任等各项应有费用；以及因人员辞退、工伤事故等造成的赔偿金；在合同期内社保基金调整的费用由中标人负责。采购人不再支付报价以外的任何费用。</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w:t>
      </w:r>
      <w:r/>
    </w:p>
    <w:p>
      <w:pP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三、项目概况</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w:t>
      </w:r>
      <w:r/>
    </w:p>
    <w:p>
      <w:pPr>
        <w:pStyle w:val="1012"/>
        <w:ind w:left="0"/>
        <w:tabs>
          <w:tab w:val="left" w:pos="312" w:leader="none"/>
        </w:tabs>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徐州市公安局刑侦支队新警犬基地食堂服务</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pStyle w:val="1012"/>
        <w:ind w:left="0"/>
        <w:tabs>
          <w:tab w:val="left" w:pos="312"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地址：</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泉山区经济开发区纬二路南侧、经一路东侧、经二路西侧。</w:t>
      </w:r>
      <w:r/>
    </w:p>
    <w:p>
      <w:pPr>
        <w:pStyle w:val="1012"/>
        <w:ind w:left="0"/>
        <w:tabs>
          <w:tab w:val="left" w:pos="312"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服务期限：25个月。</w:t>
      </w:r>
      <w:r/>
    </w:p>
    <w:p>
      <w:pPr>
        <w:numPr>
          <w:ilvl w:val="0"/>
          <w:numId w:val="3"/>
        </w:numP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服务内容：</w:t>
      </w:r>
      <w:r/>
    </w:p>
    <w:p>
      <w:pPr>
        <w:numPr>
          <w:ilvl w:val="0"/>
          <w:numId w:val="0"/>
        </w:num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中标供应商负责提供每日早餐、午餐、晚餐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服务内容主要包括食材加工、烹饪，食堂区域卫生保洁，厨余垃圾清理，食堂管理等。</w:t>
      </w:r>
      <w:r/>
    </w:p>
    <w:p>
      <w:pPr>
        <w:pStyle w:val="1075"/>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①早餐：就餐人数在50人左右，须提供2种面点，两个汤调制、腌制小菜各两种，每种菜品以餐碗形式供应；</w:t>
      </w:r>
      <w:r/>
    </w:p>
    <w:p>
      <w:pPr>
        <w:pStyle w:val="1075"/>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②中餐：就餐人数在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人左右，品种包括 两荤两素菜，两种主食，两个汤等，每种菜品以餐碗形式供应；</w:t>
      </w:r>
      <w:r/>
    </w:p>
    <w:p>
      <w:pPr>
        <w:pStyle w:val="1075"/>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③晚餐：就餐人数在50人左右，品种包括两荤两素菜，两种主食，两个汤等，每种菜品以餐碗形式供应；</w:t>
      </w:r>
      <w:r/>
    </w:p>
    <w:p>
      <w:pPr>
        <w:pStyle w:val="1075"/>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④周六、周日就餐人数在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人左右，品种包括两荤两素菜，两种主食，两个汤等，每种菜品以餐碗形式供应。</w:t>
      </w:r>
      <w:r/>
    </w:p>
    <w:p>
      <w:pPr>
        <w:pStyle w:val="1075"/>
        <w:ind w:firstLine="482"/>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食堂全年无休，节假日正常就餐，根据采购人勤务需要不定时提供24小时就餐服务。投标人提供服务人员及技术服务，负责烹饪、餐饮服务等具体工作实施与管理，协助做好进出库管理（含食材验收、保管）及成本核算等工作。</w:t>
      </w:r>
      <w:r/>
    </w:p>
    <w:p>
      <w:pP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五、项目主要内容、人员要求、工作职责及承包经营要求</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w:t>
      </w:r>
      <w:r/>
    </w:p>
    <w:p>
      <w:pPr>
        <w:ind w:firstLine="482"/>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（一） 人员数量要求</w:t>
      </w:r>
      <w:r/>
    </w:p>
    <w:p>
      <w:pPr>
        <w:pStyle w:val="1012"/>
        <w:ind w:left="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不少于5人，其中：厨师长1人，厨师2人，帮厨1人，服务员1人。</w:t>
      </w:r>
      <w:r/>
    </w:p>
    <w:p>
      <w:pPr>
        <w:pStyle w:val="1075"/>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说明：以上“（一）人员数量要求”为不允许负偏离的实质性要求和条件，如有负偏离，在符合性审查时按照投标无效处理。</w:t>
      </w:r>
      <w:r/>
    </w:p>
    <w:p>
      <w:pPr>
        <w:pStyle w:val="1012"/>
        <w:ind w:left="0" w:firstLine="482"/>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（二）人员资历要求</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厨师长具有高中及以上学历，年龄在50周岁以下的男性，身体健康，具有5年以上相应的工作经历，有一定的组织、管理、协调、沟通能力。响应文件中须提供健康证及开标时间前6个月内任意连续3个月在本公司缴纳的社保证明材料扫描件。</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2、厨师具有初中及以上学历，年龄在55岁以下男性，身体健康，具有3年以上相关工作经历。</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3、帮厨要求男性年龄在55岁以下，女性年龄在50岁以下，身体健康。</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4、服务员具有初中及以上学历，年龄在45周岁以下女性，1.60米以上，会讲普通话，具有熟练的服务技能和良好的沟通应变能力，有相应的工作经历者优先。</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所有人员需持有本市卫生部门颁发的健康证，并保持每年一次的健康检查。</w:t>
      </w:r>
      <w:r/>
    </w:p>
    <w:p>
      <w:pPr>
        <w:ind w:firstLine="48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（三）食堂服务的主要内容</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1、响应供应商按采购人要求提供相应种类、数量、质量的工作用餐。</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2、根据相关规定做好食堂及厨房内食品卫生安全工作。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3、食堂内各类设备、设施的维护管理。</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4、其他与食堂管理相关的工作。</w:t>
      </w:r>
      <w:r/>
    </w:p>
    <w:p>
      <w:pPr>
        <w:ind w:firstLine="48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（四）食堂服务人员工作职责</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1、厨师长工作职责：</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（1）负责厨房的日常管理工作；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（2）负责厨房工作人员的调配，并对工作人员进行考核登记，做到奖罚分明；</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（3）制定每周食谱，根据采购人用餐要求提供主副食品需求量；</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（4）维护管理厨房秩序，做到热情待人，妥善协调好内部关系；</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（5）加强厨房财产管理，掌握和控制食材成本用量，掌握厨房货源情况及供餐情况；</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（6）负责所有厨房的食品原料加工及供应，严格控制原材料的质量和数量，并做好食品验收工作；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（7）熟练掌握各种原材料的性能用途，合理使用各种原材料，做到物尽其用；</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（8）原材料到货后，应精心保管，及时入库，存放妥当，整齐，保持原料应有的新鲜度。</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（9）对甲方提出的关于出品的合理要求，及时响应。</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2、厨师工作职责：</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（1）工作吃苦耐劳，爱业敬岗。服从厨师长的工作安排和调度；</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（2）熟悉和掌握各种菜肴的基本制作技术和炒、爆、烹、溜、煎、炸等技术，制作出来的菜品要色、香、味、形符合质量标准；</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（3）每餐前，准备好炉灶必用的生产工具(铁锅、勺、铲、毛巾、竹刷、油桶、漏勺等)；</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（4）根据餐厅的服务要求，按厨师长拟定的菜单，做好烹饪工作，保证出菜时间与菜品质量。在菜肴烹饪过程中，要严格遵照操作规程烹饪制作。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（5）积极配合厨师长，根据不同季节、节假日研制推出适合适时的菜式新品；</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（6）开餐完毕，清洗所有灶头生产用具，按要求摆放，并关闭单位电器和水、燃气；</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（7）要有节约意识，节约水电油气。</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3、帮厨工作职责：</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（1）做好蔬菜加工清洗及原料粗加工；</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（2）做好工具、用具、盛具准备工作，负责传菜工作；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（3）做好餐具的清洗、消毒工作；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（4）保证餐具的正常使用，保证餐具完好；</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（5）负责食堂及厨房间卫生清洁工作。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4、服务员工作职责：</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（1）做好桌椅、餐厅卫生，准备好各种用品，确保餐饮工作正常进行，做到认真、细致、对管理及制度能够做到用心遵守；</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（2）有良好的服务心态及服务素养，服务主动、热情、礼貌、耐心、周到；</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（3）反应能力强，善于与沟通；</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（4）听从上级的工作安排，对下达的工作要求可以准确判定，并认真处理，团队意识强，团结并善于帮助同事；</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（五）对投标人要求</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1、响应供应商不得将厨房私自转让或委托他人承包，更不能在食堂内搞不法经营，不得对外经营。</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2、食堂所有区域等均属于响应供应商管理范围，响应供应商需负责承包区域内的卫生清扫和食品安全管理。</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3、工作人员要遵守餐饮法规以及采购人的规章制度，主动热情、周到服务。</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响应供应商承诺“所有派驻人员持有健康证和无犯罪记录”（承诺格式自拟），所有工作人员健康证签订合同前报采购人备案。（本条为不允许偏离的实质性要求和条件，如有偏离，在符合性审查时按照投标无效处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5、响应供应商按照采购人规定的时间，保证饭菜足量、优质，做到品种多样，美味可口，并定期更换不同的菜品，不得出现少餐、缺餐。响应供应商必须提前一周将菜单给采购人审核，经核准后在食堂内公布。</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6、响应供应商所制作、加工的食品质量要求必须符合国家的卫生、安全标准。</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为确保饮食安全，采购人将对食堂及厨房间的卫生情况、响应供应商的服务质量、饭菜品种及口味进行监督和提出改善意见，响应供应商必须接受采购人的监督检查，对采购人提出的问题和员工投诉及时整改纠正。</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食堂服务期间，食堂水、电、燃气、排烟等基础设施由采购人提供。响应供应商必须保护好食堂所有财产，注意节约能源和各种原材料，对采购人提供的厨具设备、设施应及时进行保养、维修，延长其使用年限。服务期满后，保证房屋、设备、设施、厨具、餐具、墙面、地面的完好，若有损坏必须承担由此产生的相关费用。</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9、响应供应商负责区域用电安全、消防防火、防盗等工作，服从采购人的统一管理，确保安全无事故。</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10、响应供应商必须按采购人要求配备足够的工作人员，经营服务所需用工必须符合《劳动合同法》要求，依法用工。如发生用工纠纷，由中标供应商自行承担责任。</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11、按照国家有关餐具卫生管理要求，做好公共餐具消毒工作。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12、用人单位所支付的人员工资应符合现行徐州市最低工资标准。</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鉴于公安机关的特殊性质，中标人安排的食堂服务人员必须未受过刑事处罚，相关审核工作由中标人负责，中标人应有做好保密工作的相关经验及相应的管理制度，并有责任在提供服务时履行保密义务，在签订合同前，中标人应与所有食堂服务人员签订保密协议，相关协议应提交采购人备份。如因食堂服务人员泄密造成的后果将由中标人及泄密人员承担相关责任。</w:t>
      </w:r>
      <w:r/>
    </w:p>
    <w:p>
      <w:pPr>
        <w:pStyle w:val="1075"/>
        <w:ind w:firstLine="480"/>
        <w:tabs>
          <w:tab w:val="left" w:pos="0" w:leader="none"/>
          <w:tab w:val="left" w:pos="284"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14、投标人拟派驻人员不得私拿采购方设备、厨具、食材等财物。</w:t>
      </w:r>
      <w:r/>
    </w:p>
    <w:p>
      <w:pPr>
        <w:pStyle w:val="1075"/>
        <w:ind w:firstLine="480"/>
        <w:tabs>
          <w:tab w:val="left" w:pos="0" w:leader="none"/>
          <w:tab w:val="left" w:pos="284"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15、非本项目工作人员不得到甲方允许不得进入甲方场所。</w:t>
      </w:r>
      <w:r/>
    </w:p>
    <w:p>
      <w:pPr>
        <w:ind w:firstLine="480"/>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六、服务要求</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（一）食品质量要求</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1、食品烧（炒）熟烧（炒）透，熟制后食品完整不碎及不松散。</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2、热菜供餐时保持温热。</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3、热菜食品表面无风干及水浸现象。</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4、素食食品即时烹炒并控制过多汤汁和水分。</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5、建立严格的清洗、消毒制度，餐具要一洗、二清、三消毒，杜绝霉变、有菌食品。</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6、蔬菜须浸泡处理后再清洗加工。</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7、熟食加工时须与生食品分开加工，以免交叉感染。</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8、合理配备数量，尽量做到不少不剩，剩菜隔夜不得供应。</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9、经常了解就餐人员口味，征求用餐意见，做出营养美味的菜肴。</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10、中标供应商供应之伙食须每餐按规定保管样菜，以供采购人或卫生部门检查。</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11、杜绝日常用品及水、电等原材料的浪费。</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12、根据季节变化，调剂饭菜品种、花样，做到烹调方法多样化，营养丰富，使菜品色香味形俱佳，在节假日期间根据实际改善伙食。</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（二）服务质量要求</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1、按规定准时开餐，每餐所供食品在开餐前15分钟布置完毕。</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2、合理安排供餐人数、出餐窗口数量及分布，不可出现用餐人员等候拥挤混乱现象。</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（三）食品保存要求</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1、食品与非食品不能混放，食品仓库内不得存放有毒有害物品，不得存放个人物品和杂物。</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2、仓库内要定期清扫，保持仓库、货架清洁卫生，经常开窗或用机械通风设备通风，保持干燥。</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3、做好食品数量、质量合格证明或检验检疫证明的检查验收工作。腐烂变质、发霉生虫、有毒有害、掺杂掺假、质量不新鲜的食品，无卫生许可证的生产经营者提供的食品、来历不明确的食品不得验收入库。</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4、做好食品数量、质量入库登记，做到先进先出。</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5、食品按类别、品种分架、隔墙、离地整齐摆放，散装食品及原料储存容器加盖密封，同时经常检查，防止霉变。</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6、肉类、水产品、禽蛋等易腐食品应分别冷藏贮存。用于保存食品的冷藏设备，必须贴有明显标识并有温度显示装置。肉类、水产类分柜存放，生食品、熟食品、半成品分柜存放，杜绝生熟混放。</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7、经常检查食品质量，及时发现和处理变质、超过保质期限的食品</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8、做好防鼠、防蝇、防蟑螂工作。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（四）应急处理要求</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1、中标供应商应配合采购人做好重大应急活动的就餐保障工作。</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2、发现食物有腐烂变质现象或使用腐烂变质食物造成安全事故，需提供应急方案。</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3、中标供应商应在收到采购人较大人员变动通知后立即响应并有计划的实施。各响应供应商应在响应文件的《应急方案》中提供针对此项要求的实施方案。</w:t>
      </w:r>
      <w:r/>
    </w:p>
    <w:p>
      <w:pPr>
        <w:ind w:firstLine="48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（五）用工、卫生及安全责任要求（响应文件中需提供《用工、卫生及安全责任承诺书》，格式详见第七章 投标文件相关格式《用工、卫生及安全责任承诺书》。本要求为实质性要求，如有任何一项不满足或负偏离则按照无效投标处理。）</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响应供应商服务所需用工必须符合《劳动合同法》要求，依法用工。如发生用工纠纷，由响应供应商自行负责，采购人不承担连带责任，用工调整须报采购人备案。食堂内的工作人员属于响应供应商的职工，与采购人不存在任何雇佣、委托等劳动关系，同时食堂工作人员在工作过程中的安全责任由响应供应商负责。如用工、用电、用水、等不注意安全引起生产事故，或发生意外伤亡事故，响应供应商承担全部责任和经济补偿，采购人概不承担任何责任。</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2、卫生要求：</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（1）食品卫生</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①生、熟、半成品分开存放，生、熟食品工具、容器分开使用，水池、水箱标识齐全；</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②冷荤部必须做到“五专”（专人、专室、专工具、专冷藏、专消毒）；</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③净料、成品、半成品的存放要离地上架；</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④食品防尘、防蝇、无变质。</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（2）环境卫生</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①饭厅、饭道的门窗及桌椅、地面、墙面整齐清洁，洗碗无残渣油垢，用餐后及时清扫餐桌和地面；</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②库房物品码放整齐，货架分类，隔地离墙，通风换气，有防灭鼠措施，冰箱生熟及半成品分开，无变质食品；</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③食堂沟、池畅通，地面整洁无垃圾，消灭蚊、蝇孳生地；</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④食堂内外划分责任区并责任到人，做到活完脚下清。每周大扫除，坚持月末卫生日活动；</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⑤食堂内无烟尘、烟头、痰迹、油垢、杂物，无老鼠、蟑螂等虫害。</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（3）个人卫生</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①持证上岗（健康证）；</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②个人卫生做到不染指甲、不戴首饰、不外露纹身，出售熟食时必须戴口罩和一次性手套；</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③穿戴好工作服、工作帽，不随地吐痰、不吸烟、不穿拖鞋，操作前后及大小便后必须洗净双手；</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④进入工作区域必须穿着工作服、离开工作区域不得穿着工作服，不准穿工作服上卫生间。更衣柜内只能存放个人衣物和洗澡用品。</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（4）设备、炊具、餐具卫生</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①炊事机械设备使用中生熟分开，使用后必须刷洗干净保持清洁，做到无锈、无油渍、无腐物，定位整齐，防止污染；</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②炊用具使用前必须清洗，使用中生熟分开，使用后洗净保持清洁，定位、盖布存放，每周进行消毒，消毒次数随季节增减；</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③餐具要到达光、洁、涩、干，每餐消毒并达到检验标准，密闭储存；</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④成品，半成品和净料容器（盆、盘、筐）定位存放，每周消毒，消毒次数随季节增减。</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整个食堂的卫生防疫、就餐环境卫生等级必须达到卫生监督部门要求的卫生标准，采购人有权监督，并定时检查。</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安全责任：中标供应商应注重食品卫生安全。中标供应商应负责用工、用水、用电、用气安全和消防安全，明确责任人，服从采购人职能部门的统一管理，确保安全无事故。如供应商派驻人员人为造成发生食品安全、水电、燃气、消防安全等方面的安全事故，由中标供应商承担全部责任，采购人概不负责。</w:t>
      </w:r>
      <w:r/>
    </w:p>
    <w:p>
      <w:pP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七、其他内容和要求：</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见第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章《拟签订的合同文本》。</w:t>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0"/>
      </w:pPr>
      <w:r/>
      <w:bookmarkStart w:id="11" w:name="_Toc5392"/>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第六章  拟签订的合同文本</w:t>
      </w:r>
      <w:bookmarkEnd w:id="11"/>
      <w:r/>
      <w:r/>
    </w:p>
    <w:p>
      <w:pPr>
        <w:pStyle w:val="1123"/>
        <w:ind w:left="0" w:right="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spacing w:before="240" w:after="24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14:textFill>
            <w14:solidFill>
              <w14:schemeClr w14:val="tx1"/>
            </w14:solidFill>
          </w14:textFill>
        </w:rPr>
        <w:t xml:space="preserve">徐州市公安局刑侦支队新警犬基地食堂服务</w:t>
      </w:r>
      <w:r/>
    </w:p>
    <w:p>
      <w:pPr>
        <w:ind w:firstLine="48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项目编号：</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1044"/>
        <w:jc w:val="cente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52"/>
          <w:highlight w:val="none"/>
          <w14:textFill>
            <w14:solidFill>
              <w14:schemeClr w14:val="tx1"/>
            </w14:solidFill>
          </w14:textFill>
        </w:rPr>
        <w:t xml:space="preserve">政</w:t>
      </w:r>
      <w:r/>
    </w:p>
    <w:p>
      <w:pPr>
        <w:ind w:firstLine="1044"/>
        <w:jc w:val="cente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52"/>
          <w:highlight w:val="none"/>
          <w14:textFill>
            <w14:solidFill>
              <w14:schemeClr w14:val="tx1"/>
            </w14:solidFill>
          </w14:textFill>
        </w:rPr>
        <w:t xml:space="preserve">府</w:t>
      </w:r>
      <w:r/>
    </w:p>
    <w:p>
      <w:pPr>
        <w:ind w:firstLine="1044"/>
        <w:jc w:val="cente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52"/>
          <w:highlight w:val="none"/>
          <w14:textFill>
            <w14:solidFill>
              <w14:schemeClr w14:val="tx1"/>
            </w14:solidFill>
          </w14:textFill>
        </w:rPr>
        <w:t xml:space="preserve">采</w:t>
      </w:r>
      <w:r/>
    </w:p>
    <w:p>
      <w:pPr>
        <w:ind w:firstLine="1044"/>
        <w:jc w:val="cente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52"/>
          <w:highlight w:val="none"/>
          <w14:textFill>
            <w14:solidFill>
              <w14:schemeClr w14:val="tx1"/>
            </w14:solidFill>
          </w14:textFill>
        </w:rPr>
        <w:t xml:space="preserve">购</w:t>
      </w:r>
      <w:r/>
    </w:p>
    <w:p>
      <w:pPr>
        <w:ind w:firstLine="1044"/>
        <w:jc w:val="cente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52"/>
          <w:highlight w:val="none"/>
          <w14:textFill>
            <w14:solidFill>
              <w14:schemeClr w14:val="tx1"/>
            </w14:solidFill>
          </w14:textFill>
        </w:rPr>
        <w:t xml:space="preserve">合</w:t>
      </w:r>
      <w:r/>
    </w:p>
    <w:p>
      <w:pPr>
        <w:ind w:firstLine="1044"/>
        <w:jc w:val="cente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52"/>
          <w:highlight w:val="none"/>
          <w14:textFill>
            <w14:solidFill>
              <w14:schemeClr w14:val="tx1"/>
            </w14:solidFill>
          </w14:textFill>
        </w:rPr>
        <w:t xml:space="preserve">同</w:t>
      </w:r>
      <w:r/>
    </w:p>
    <w:p>
      <w:pPr>
        <w:ind w:firstLine="480"/>
        <w:spacing w:before="240" w:after="240"/>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r>
      <w:r/>
    </w:p>
    <w:p>
      <w:pPr>
        <w:ind w:firstLine="480"/>
        <w:spacing w:before="240" w:after="24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采购人：</w:t>
      </w:r>
      <w:r/>
    </w:p>
    <w:p>
      <w:pPr>
        <w:ind w:firstLine="480"/>
        <w:spacing w:before="240" w:after="240"/>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中标供应商：</w:t>
      </w:r>
      <w:r/>
    </w:p>
    <w:p>
      <w:pPr>
        <w:ind w:firstLine="480"/>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合同签订日期： 年 月 日</w:t>
      </w:r>
      <w:r/>
    </w:p>
    <w:p>
      <w:pPr>
        <w:spacing w:line="520" w:lineRule="exact"/>
        <w:shd w:val="clear" w:color="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友情提醒：采购人与中标、中标供应商应当在中标、中标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spacing w:after="120" w:line="3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bookmarkStart w:id="12" w:name="page2"/>
      <w:r/>
      <w:bookmarkEnd w:id="12"/>
      <w:r/>
      <w:r/>
    </w:p>
    <w:p>
      <w:pPr>
        <w:pStyle w:val="107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headerReference w:type="default" r:id="rId12"/>
          <w:footerReference w:type="default" r:id="rId19"/>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第一部分 合同协议书</w:t>
      </w:r>
      <w:r/>
    </w:p>
    <w:p>
      <w:pPr>
        <w:pStyle w:val="1074"/>
        <w:ind w:left="0" w:firstLine="0"/>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ind w:left="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甲方（全称）：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徐州市公安局刑事侦查支队</w:t>
      </w:r>
      <w:r/>
    </w:p>
    <w:p>
      <w:pPr>
        <w:ind w:left="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乙方（全称）：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根据《中华人民共和国政府采购法》、《中华人民共和国民法典》及有关法律规定，遵循平等、自愿、公平和诚实信用的原则，双方就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徐州市公安局刑侦支队新警犬基地食堂服务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及有关事项协商一致，共同达成如下协议：</w:t>
      </w:r>
      <w:r/>
    </w:p>
    <w:p>
      <w:pPr>
        <w:ind w:left="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一、基本情况</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1.项目名称：</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 xml:space="preserve">徐州市公安局刑侦支队新警犬基地食堂服务</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2.服务地点：</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泉山区经济开发区纬二路南侧、经一路东侧、经二路西侧</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3.资金来源：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财政资金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4.乙方派驻项目负责人：</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负责人：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身份证号码：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p>
    <w:p>
      <w:pPr>
        <w:ind w:left="0"/>
        <w:keepLines w:val="0"/>
        <w:keepNext w:val="0"/>
        <w:pageBreakBefore w:val="0"/>
        <w:spacing w:line="288"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二、委托管理期限</w:t>
      </w:r>
      <w:r/>
    </w:p>
    <w:p>
      <w:pPr>
        <w:numPr>
          <w:ilvl w:val="0"/>
          <w:numId w:val="0"/>
        </w:numPr>
        <w:ind w:left="0" w:firstLine="480"/>
        <w:jc w:val="both"/>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委托管理期限:自</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日至</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日止。</w:t>
      </w:r>
      <w:r/>
    </w:p>
    <w:p>
      <w:pPr>
        <w:numPr>
          <w:ilvl w:val="0"/>
          <w:numId w:val="4"/>
        </w:numPr>
        <w:ind w:left="0"/>
        <w:keepLines w:val="0"/>
        <w:keepNext w:val="0"/>
        <w:pageBreakBefore w:val="0"/>
        <w:spacing w:line="288"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服务内容：</w:t>
      </w:r>
      <w:r/>
    </w:p>
    <w:p>
      <w:pPr>
        <w:ind w:firstLine="480"/>
        <w:keepLines w:val="0"/>
        <w:keepNext w:val="0"/>
        <w:pageBreakBefore w:val="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中标供应商负责提供每日早餐、午餐、晚餐</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服务内容主要包括食材加工、烹饪，食堂区域卫生保洁，厨余垃圾清理，食堂管理等。</w:t>
      </w:r>
      <w:r/>
    </w:p>
    <w:p>
      <w:pPr>
        <w:pStyle w:val="1075"/>
        <w:ind w:firstLine="480"/>
        <w:keepLines w:val="0"/>
        <w:keepNext w:val="0"/>
        <w:pageBreakBefore w:val="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①早餐：就餐人数在50人左右，须提供2种面点，两个汤调制、腌制小菜各两种，每种菜品以餐碗形式供应；</w:t>
      </w:r>
      <w:r/>
    </w:p>
    <w:p>
      <w:pPr>
        <w:pStyle w:val="1075"/>
        <w:ind w:firstLine="480"/>
        <w:keepLines w:val="0"/>
        <w:keepNext w:val="0"/>
        <w:pageBreakBefore w:val="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②中餐：就餐人数在</w:t>
      </w:r>
      <w:r>
        <w:rPr>
          <w:rFonts w:hint="eastAsia" w:ascii="宋体" w:hAnsi="宋体" w:cs="宋体"/>
          <w:color w:val="000000" w:themeColor="text1"/>
          <w:sz w:val="24"/>
          <w:szCs w:val="24"/>
          <w:highlight w:val="none"/>
          <w14:textFill>
            <w14:solidFill>
              <w14:schemeClr w14:val="tx1"/>
            </w14:solidFill>
          </w14:textFill>
        </w:rPr>
        <w:t xml:space="preserve">150</w:t>
      </w:r>
      <w:r>
        <w:rPr>
          <w:rFonts w:hint="eastAsia" w:ascii="宋体" w:hAnsi="宋体" w:cs="宋体"/>
          <w:color w:val="000000" w:themeColor="text1"/>
          <w:sz w:val="24"/>
          <w:szCs w:val="24"/>
          <w:highlight w:val="none"/>
          <w14:textFill>
            <w14:solidFill>
              <w14:schemeClr w14:val="tx1"/>
            </w14:solidFill>
          </w14:textFill>
        </w:rPr>
        <w:t xml:space="preserve">人左右，品种包括两荤两素菜，两种主食，两个汤等，每种菜品以餐碗形式供应；</w:t>
      </w:r>
      <w:r/>
    </w:p>
    <w:p>
      <w:pPr>
        <w:pStyle w:val="1075"/>
        <w:ind w:firstLine="480"/>
        <w:keepLines w:val="0"/>
        <w:keepNext w:val="0"/>
        <w:pageBreakBefore w:val="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③晚餐：就餐人数在50人左右，品种包括两荤两素菜，两种主食，两个汤等，每种菜品以餐碗形式供应；</w:t>
      </w:r>
      <w:r/>
    </w:p>
    <w:p>
      <w:pPr>
        <w:pStyle w:val="1075"/>
        <w:ind w:firstLine="480"/>
        <w:keepLines w:val="0"/>
        <w:keepNext w:val="0"/>
        <w:pageBreakBefore w:val="0"/>
        <w:spacing w:line="288"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④周六、周日就餐人数在</w:t>
      </w:r>
      <w:r>
        <w:rPr>
          <w:rFonts w:hint="eastAsia" w:ascii="宋体" w:hAnsi="宋体" w:cs="宋体"/>
          <w:color w:val="000000" w:themeColor="text1"/>
          <w:sz w:val="24"/>
          <w:szCs w:val="24"/>
          <w:highlight w:val="none"/>
          <w14:textFill>
            <w14:solidFill>
              <w14:schemeClr w14:val="tx1"/>
            </w14:solidFill>
          </w14:textFill>
        </w:rPr>
        <w:t xml:space="preserve">100</w:t>
      </w:r>
      <w:r>
        <w:rPr>
          <w:rFonts w:hint="eastAsia" w:ascii="宋体" w:hAnsi="宋体" w:cs="宋体"/>
          <w:color w:val="000000" w:themeColor="text1"/>
          <w:sz w:val="24"/>
          <w:szCs w:val="24"/>
          <w:highlight w:val="none"/>
          <w14:textFill>
            <w14:solidFill>
              <w14:schemeClr w14:val="tx1"/>
            </w14:solidFill>
          </w14:textFill>
        </w:rPr>
        <w:t xml:space="preserve">人左右，品</w:t>
      </w:r>
      <w:r>
        <w:rPr>
          <w:rFonts w:hint="eastAsia" w:ascii="宋体" w:hAnsi="宋体" w:cs="宋体"/>
          <w:color w:val="000000" w:themeColor="text1"/>
          <w:sz w:val="24"/>
          <w:szCs w:val="24"/>
          <w:highlight w:val="none"/>
          <w14:textFill>
            <w14:solidFill>
              <w14:schemeClr w14:val="tx1"/>
            </w14:solidFill>
          </w14:textFill>
        </w:rPr>
        <w:t xml:space="preserve">种包括两荤两素菜，两种主食，两个汤等，每种菜品以餐碗形式供应。</w:t>
      </w:r>
      <w:r/>
    </w:p>
    <w:p>
      <w:pPr>
        <w:ind w:left="0" w:firstLine="482"/>
        <w:jc w:val="both"/>
        <w:keepLines w:val="0"/>
        <w:keepNext w:val="0"/>
        <w:pageBreakBefore w:val="0"/>
        <w:spacing w:line="288" w:lineRule="auto"/>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食堂全年无休，节假日正常就餐，根据采购人勤务需要不定时提供24小时就餐服务。投标人提供服务人员及技术服务，负责烹饪、餐饮服务等具体工作实施与管理，协助做好进出库管理（含食材验收、保管）及成本核算等工作。</w:t>
      </w:r>
      <w:r/>
    </w:p>
    <w:p>
      <w:pPr>
        <w:numPr>
          <w:ilvl w:val="0"/>
          <w:numId w:val="0"/>
        </w:numPr>
        <w:ind w:left="0"/>
        <w:keepLines w:val="0"/>
        <w:keepNext w:val="0"/>
        <w:pageBreakBefore w:val="0"/>
        <w:spacing w:line="288"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四、合同价及结算方式：</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本合同总金额为人民币大写金额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元（小写金额：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元），经双方协商一致，选择以下第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种付款方式：</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（一）付款方式（提交预付款保函的）</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合同签订且乙方向甲方出具预付款保函后15个工作日内，甲方应支付合同价款的百分之十(10%)即￥</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，大写：人民币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元整，乙方提供对应金额的增值税发票后，由甲方办理政府采购资金结算手续，经审核后支付给乙方。</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strike w:val="0"/>
          <w:color w:val="000000" w:themeColor="text1"/>
          <w:sz w:val="24"/>
          <w:szCs w:val="24"/>
          <w:highlight w:val="none"/>
          <w:lang w:val="en-US" w:eastAsia="zh-CN"/>
          <w14:textFill>
            <w14:solidFill>
              <w14:schemeClr w14:val="tx1"/>
            </w14:solidFill>
          </w14:textFill>
        </w:rPr>
        <w:t xml:space="preserve">余款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按月支付，在乙方完成合同全部工作内容并提供对应金额的发票后10个工作日内，由甲方办理政府采购资金结算手续，经审核后支付给乙方。</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乙方需提交的支付文件包括：乙方出具的全额正式发票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firstLine="420"/>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（二）付款方式（不提交预付款保函的）</w:t>
      </w:r>
      <w:r/>
    </w:p>
    <w:p>
      <w:pPr>
        <w:ind w:left="0" w:firstLine="420"/>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合同签订后15个工作日内，甲方应支付合同价款的百分之十（10%)￥</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元，大写：人民币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元整，乙方提供对应金额的增值税发票后，由甲方办理政府采购资金结算手续，经审核后支付给乙方。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在签订合同时，如乙方明确表示无需预付款的，甲方可凭月考核结果按月支付。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 此条符合苏财购 (2020) 52 号文件要求</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firstLine="420"/>
        <w:keepLines w:val="0"/>
        <w:keepNext w:val="0"/>
        <w:pageBreakBefore w:val="0"/>
        <w:spacing w:line="288" w:lineRule="auto"/>
        <w:widowControl/>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在合同期内社保基金调整的费用由中标人负责。</w:t>
      </w:r>
      <w:r/>
    </w:p>
    <w:p>
      <w:pPr>
        <w:ind w:left="0" w:firstLine="420"/>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余款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按月支付，每月服务费=合同总价款*</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服务期月数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。在乙方完成合同全部工作内容并提供对应金额的发票后5个工作日内，由甲方办理政府采购资金结算手续，经审核后支付给乙方。</w:t>
      </w:r>
      <w:r/>
    </w:p>
    <w:p>
      <w:pPr>
        <w:ind w:left="0" w:firstLine="420"/>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每月初甲方按验收（考核）结果（月度检查考核以随机抽查方式。月考核结果得分以当月月度巡查检查考核结果为准，甲方负责以书面形式将每月考核结果通知乙方），收到乙方开具发票之日起15日内支付上一月食堂服务费用，由甲方办理政府采购资金结算手续，经审核后支付给乙方。乙方每月应进行自查，形成自查报告。</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具体如下：</w:t>
      </w:r>
      <w:r/>
    </w:p>
    <w:p>
      <w:pPr>
        <w:numPr>
          <w:ilvl w:val="0"/>
          <w:numId w:val="0"/>
        </w:num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验收（考核）结果按照《食堂服务工作考核评分表》考核得分在95分以上（含95分）的，全额支付合同约定的“每月食堂服务费”；</w:t>
      </w:r>
      <w:r/>
    </w:p>
    <w:p>
      <w:pPr>
        <w:numPr>
          <w:ilvl w:val="0"/>
          <w:numId w:val="0"/>
        </w:num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验收（考核）结果按照《食堂服务工作考核评分表》考核得分在94-75分以上（含75分）之间的，实际支付食堂服务费为：合同约定的“每月食堂服务费”-[（95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实际得分）*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2000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（3）验收（考核）结果按照《食堂服务工作考核评分表》考核得分在75分以下的，全额扣除合同约定的“每月食堂服务费”。 </w:t>
      </w:r>
      <w:r/>
    </w:p>
    <w:p>
      <w:pPr>
        <w:pStyle w:val="1019"/>
        <w:ind w:firstLine="480"/>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若因财政付款审批程序滞后，甲方不承担逾期付款的违约责任。</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（三）合同约定的乙方账户：</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开户银行：</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银行账号：</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如合同履行期间工作发生变化，甲方会对本项目的标准和要求作出调整，乙方应服从甲方安排，无条件配合。如因乙方人员不足、服务失误或保障不到位造成甲方工作被动、接待工作不力，甲方有权在应付费用的基础上扣除相关费用。</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2、在招标文件未列明，而是乙方履行本合同必需的费用也包含在合同总价中。</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ind w:left="0"/>
        <w:keepLines w:val="0"/>
        <w:keepNext w:val="0"/>
        <w:pageBreakBefore w:val="0"/>
        <w:spacing w:line="288"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五、项目主要内容、人员要求、工作职责及承包经营要求</w:t>
      </w:r>
      <w:r/>
    </w:p>
    <w:p>
      <w:pPr>
        <w:ind w:left="0"/>
        <w:jc w:val="left"/>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（一）人员数量</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最低配备</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要求</w:t>
      </w:r>
      <w:r/>
    </w:p>
    <w:p>
      <w:pPr>
        <w:ind w:left="0"/>
        <w:jc w:val="both"/>
        <w:keepLines w:val="0"/>
        <w:keepNext w:val="0"/>
        <w:pageBreakBefore w:val="0"/>
        <w:spacing w:line="288" w:lineRule="auto"/>
        <w:widowControl w:val="off"/>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不少于5人，其中：厨师长1人，厨师2人，帮厨1人，服务员1人。</w:t>
      </w:r>
      <w:r/>
    </w:p>
    <w:p>
      <w:pPr>
        <w:ind w:left="0"/>
        <w:jc w:val="both"/>
        <w:keepLines w:val="0"/>
        <w:keepNext w:val="0"/>
        <w:pageBreakBefore w:val="0"/>
        <w:spacing w:line="288" w:lineRule="auto"/>
        <w:widowControl w:val="off"/>
        <w:rPr>
          <w:rFonts w:hint="eastAsia" w:asciiTheme="minorEastAsia" w:hAnsiTheme="minorEastAsia" w:eastAsiaTheme="minorEastAsia" w:cstheme="minorEastAsia"/>
          <w:b/>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bidi="ar-SA"/>
          <w14:textFill>
            <w14:solidFill>
              <w14:schemeClr w14:val="tx1"/>
            </w14:solidFill>
          </w14:textFill>
        </w:rPr>
        <w:t xml:space="preserve">说明：以上“（一）</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人员数量</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最低配备</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要求</w:t>
      </w:r>
      <w:r>
        <w:rPr>
          <w:rFonts w:hint="eastAsia" w:asciiTheme="minorEastAsia" w:hAnsiTheme="minorEastAsia" w:eastAsiaTheme="minorEastAsia" w:cstheme="minorEastAsia"/>
          <w:b/>
          <w:color w:val="000000" w:themeColor="text1"/>
          <w:sz w:val="24"/>
          <w:szCs w:val="24"/>
          <w:highlight w:val="none"/>
          <w:lang w:val="en-US" w:eastAsia="zh-CN" w:bidi="ar-SA"/>
          <w14:textFill>
            <w14:solidFill>
              <w14:schemeClr w14:val="tx1"/>
            </w14:solidFill>
          </w14:textFill>
        </w:rPr>
        <w:t xml:space="preserve">”为不允许负偏离的实质性要求和条件，如有负偏离，在符合性审查时按照投标无效处理。</w:t>
      </w:r>
      <w:r/>
    </w:p>
    <w:p>
      <w:pPr>
        <w:ind w:left="0"/>
        <w:jc w:val="both"/>
        <w:keepLines w:val="0"/>
        <w:keepNext w:val="0"/>
        <w:pageBreakBefore w:val="0"/>
        <w:spacing w:line="288" w:lineRule="auto"/>
        <w:widowControl w:val="off"/>
        <w:rPr>
          <w:rFonts w:hint="eastAsia" w:asciiTheme="minorEastAsia" w:hAnsiTheme="minorEastAsia" w:eastAsiaTheme="minorEastAsia" w:cstheme="minorEastAsia"/>
          <w:b/>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投标</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文件中需提供《</w:t>
      </w:r>
      <w:r>
        <w:rPr>
          <w:rFonts w:hint="eastAsia" w:asciiTheme="minorEastAsia" w:hAnsiTheme="minorEastAsia" w:eastAsiaTheme="minorEastAsia" w:cstheme="minorEastAsia"/>
          <w:b/>
          <w:color w:val="000000" w:themeColor="text1"/>
          <w:sz w:val="24"/>
          <w:szCs w:val="24"/>
          <w:highlight w:val="none"/>
          <w:lang w:val="en-US" w:eastAsia="zh-CN" w:bidi="ar-SA"/>
          <w14:textFill>
            <w14:solidFill>
              <w14:schemeClr w14:val="tx1"/>
            </w14:solidFill>
          </w14:textFill>
        </w:rPr>
        <w:t xml:space="preserve">人员数量最低配备要求</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承诺书》，格式详见第七章 投标文件相关格式《</w:t>
      </w:r>
      <w:r>
        <w:rPr>
          <w:rFonts w:hint="eastAsia" w:asciiTheme="minorEastAsia" w:hAnsiTheme="minorEastAsia" w:eastAsiaTheme="minorEastAsia" w:cstheme="minorEastAsia"/>
          <w:b/>
          <w:color w:val="000000" w:themeColor="text1"/>
          <w:sz w:val="24"/>
          <w:szCs w:val="24"/>
          <w:highlight w:val="none"/>
          <w:lang w:val="en-US" w:eastAsia="zh-CN" w:bidi="ar-SA"/>
          <w14:textFill>
            <w14:solidFill>
              <w14:schemeClr w14:val="tx1"/>
            </w14:solidFill>
          </w14:textFill>
        </w:rPr>
        <w:t xml:space="preserve">人员数量要求</w:t>
      </w: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要求</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承诺书》。</w:t>
      </w:r>
      <w:r/>
    </w:p>
    <w:p>
      <w:pPr>
        <w:ind w:left="0"/>
        <w:jc w:val="both"/>
        <w:keepLines w:val="0"/>
        <w:keepNext w:val="0"/>
        <w:pageBreakBefore w:val="0"/>
        <w:spacing w:line="288" w:lineRule="auto"/>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（二）人员资历要求</w:t>
      </w:r>
      <w:r/>
    </w:p>
    <w:p>
      <w:pPr>
        <w:ind w:left="0" w:firstLine="480"/>
        <w:jc w:val="both"/>
        <w:keepLines w:val="0"/>
        <w:keepNext w:val="0"/>
        <w:pageBreakBefore w:val="0"/>
        <w:spacing w:line="288" w:lineRule="auto"/>
        <w:widowControl w:val="off"/>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1、厨师长具有高中及以上学历，年龄在50周岁以下的男性，身体健康，具有5年以上相应的工作经历，有一定的组织、管理、协调、沟通能力。响应文件中须提供健康证及开标时间前6个月内任意连续3个月在本公司缴纳的社保证明材料扫描件。</w:t>
      </w:r>
      <w:r/>
    </w:p>
    <w:p>
      <w:pPr>
        <w:ind w:left="0" w:firstLine="480"/>
        <w:jc w:val="both"/>
        <w:keepLines w:val="0"/>
        <w:keepNext w:val="0"/>
        <w:pageBreakBefore w:val="0"/>
        <w:spacing w:line="288" w:lineRule="auto"/>
        <w:widowControl w:val="off"/>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2、厨师具有初中及以上学历，年龄在55岁以下男性，身体健康，具有3年以上相关工作经历。</w:t>
      </w:r>
      <w:r/>
    </w:p>
    <w:p>
      <w:pPr>
        <w:ind w:left="0" w:firstLine="480"/>
        <w:jc w:val="both"/>
        <w:keepLines w:val="0"/>
        <w:keepNext w:val="0"/>
        <w:pageBreakBefore w:val="0"/>
        <w:spacing w:line="288" w:lineRule="auto"/>
        <w:widowControl w:val="off"/>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3、帮厨要求男性年龄在55岁以下，女性年龄在50岁以下，身体健康。</w:t>
      </w:r>
      <w:r/>
    </w:p>
    <w:p>
      <w:pPr>
        <w:ind w:left="0" w:firstLine="480"/>
        <w:jc w:val="both"/>
        <w:keepLines w:val="0"/>
        <w:keepNext w:val="0"/>
        <w:pageBreakBefore w:val="0"/>
        <w:spacing w:line="288" w:lineRule="auto"/>
        <w:widowControl w:val="off"/>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4、服务员具有初中及以上学历，年龄在45周岁以下女性，1.60米以上，会讲普通话，具有熟练的服务技能和良好的沟通应变能力，有相应的工作经历者优先。</w:t>
      </w:r>
      <w:r/>
    </w:p>
    <w:p>
      <w:pPr>
        <w:ind w:left="0" w:firstLine="480"/>
        <w:jc w:val="both"/>
        <w:keepLines w:val="0"/>
        <w:keepNext w:val="0"/>
        <w:pageBreakBefore w:val="0"/>
        <w:spacing w:line="288" w:lineRule="auto"/>
        <w:widowControl w:val="off"/>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所有人员需持有本市卫生部门颁发的健康证，并保持每年一次的健康检查。</w:t>
      </w:r>
      <w:r/>
    </w:p>
    <w:p>
      <w:pPr>
        <w:ind w:left="0"/>
        <w:jc w:val="both"/>
        <w:keepLines w:val="0"/>
        <w:keepNext w:val="0"/>
        <w:pageBreakBefore w:val="0"/>
        <w:spacing w:line="288" w:lineRule="auto"/>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（三）食堂服务的主要内容</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1、响应供应商按采购人要求提供相应种类、数量、质量的工作用餐。</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2、根据相关规定做好食堂及厨房内食品卫生安全工作。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3、食堂内各类设备、设施的维护管理。</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4、其他与食堂管理相关的工作。</w:t>
      </w:r>
      <w:r/>
    </w:p>
    <w:p>
      <w:pPr>
        <w:ind w:left="0"/>
        <w:jc w:val="both"/>
        <w:keepLines w:val="0"/>
        <w:keepNext w:val="0"/>
        <w:pageBreakBefore w:val="0"/>
        <w:spacing w:line="288" w:lineRule="auto"/>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（四）食堂服务人员工作职责</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1、厨师长工作职责：</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（1）负责厨房的日常管理工作；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（2）负责厨房工作人员的调配，并对工作人员进行考核登记，做到奖罚分明；</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（3）制定每周食谱，根据采购人用餐要求提供主副食品需求量；</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（4）维护管理厨房秩序，做到热情待人，妥善协调好内部关系；</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（5）加强厨房财产管理，掌握和控制食材成本用量，掌握厨房货源情况及供餐情况；</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（6）负责所有厨房的食品原料加工及供应，严格控制原材料的质量和数量，并做好食品验收工作；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（7）熟练掌握各种原材料的性能用途，合理使用各种原材料，做到物尽其用；</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（8）原材料到货后，应精心保管，及时入库，存放妥当，整齐，保持原料应有的新鲜度。</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（9）对甲方提出的关于出品的合理要求，及时响应。</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2、厨师工作职责：</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（1）工作吃苦耐劳，爱业敬岗。服从厨师长的工作安排和调度；</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（2）熟悉和掌握各种菜肴的基本制作技术和炒、爆、烹、溜、煎、炸等技术，制作出来的菜品要色、香、味、形符合质量标准；</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（3）每餐前，准备好炉灶必用的生产工具(铁锅、勺、铲、毛巾、竹刷、油桶、漏勺等)；</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（4）根据餐厅的服务要求，按厨师长拟定的菜单，做好烹饪工作，保证出菜时间与菜品质量。在菜肴烹饪过程中，要严格遵照操作规程烹饪制作。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（5）积极配合厨师长，根据不同季节、节假日研制推出适合适时的菜式新品；</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（6）开餐完毕，清洗所有灶头生产用具，按要求摆放，并关闭单位电器和水、燃气；</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（7）要有节约意识，节约水电油气。</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3、帮厨工作职责：</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（1）做好蔬菜加工清洗及原料粗加工；</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（2）做好工具、用具、盛具准备工作，负责传菜工作；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（3）做好餐具的清洗、消毒工作；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（4）保证餐具的正常使用，保证餐具完好；</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（5）负责食堂及厨房间卫生清洁工作。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4、服务员工作职责：</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（1）做好桌椅、餐厅卫生，准备好各种用品，确保餐饮工作正常进行，做到认真、细致、对管理及制度能够做到用心遵守；</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（2）有良好的服务心态及服务素养，服务主动、热情、礼貌、耐心、周到；</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（3）反应能力强，善于与沟通；</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（4）听从上级的工作安排，对下达的工作要求可以准确判定，并认真处理，团队意识强，团结并善于帮助同事；</w:t>
      </w:r>
      <w:r/>
    </w:p>
    <w:p>
      <w:pPr>
        <w:ind w:left="0"/>
        <w:jc w:val="both"/>
        <w:keepLines w:val="0"/>
        <w:keepNext w:val="0"/>
        <w:pageBreakBefore w:val="0"/>
        <w:spacing w:line="288" w:lineRule="auto"/>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（五）对乙方要求</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不得将厨房私自转让或委托他人承包，更不能在食堂内搞不法经营，不得对外经营。</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2、食堂所有区域等均属于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管理范围，</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需负责承包区域内的卫生清扫和食品安全管理。</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3、工作人员要遵守餐饮法规以及</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的规章制度，主动热情、周到服务。</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承诺“所有派驻人员持有健康证和无犯罪记录”，所有工作人员健康证签订合同前报</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备案。</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按照</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规定的时间，保证饭菜足量、优质，做到品种多样，美味可口，并定期更换不同的菜品，不得出现少餐、缺餐。</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必须提前一周将菜单给采购人审核，经核准后在食堂内公布。</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所制作、加工的食品质量要求必须符合国家的卫生、安全标准。</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7、为确保饮食安全，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将对食堂及厨房间的卫生情况、</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的服务质量、饭菜品种及口味进行监督和提出改善意见，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必须接受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的监督检查，对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提出的问题和员工投诉及时整改纠正。</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8、食堂服务期间，食堂水、电、燃气、排烟等基础设施由</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必须保护好食堂所有财产，注意节约能源和各种原材料，对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提供的厨具设备、设施应及时进行保养、维修，延长其使用年限。服务期满后，保证房屋、设备、设施、厨具、餐具、墙面、地面的完好，若有损坏必须承担由此产生的相关费用。</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负责区域用电安全、消防防火、防盗等工作，服从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的统一管理，确保安全无事故。</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必须按</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要求配备足够的工作人员，经营服务所需用工必须符合《劳动合同法》要求，依法用工。如发生用工纠纷，由</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自行承担责任。</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11、按照国家有关餐具卫生管理要求，做好公共餐具消毒工作。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所支付的人员工资应符合现行徐州市最低工资标准。</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13、鉴于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的特殊性质，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安排的食堂服务人员必须未受过刑事处罚，相关审核工作由</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负责，</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应有做好保密工作的相关经验及相应的管理制度，并有责任在提供服务时履行保密义务，在签订合同前，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应与所有食堂服务人员签订保密协议，相关协议应提交采购人备份。如因食堂服务人员泄密造成的后果将由中标人及泄密人员承担相关责任。</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拟派驻人员不得私拿采购方设备、厨具、食材等财物。</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15、非本项目工作人员不得到甲方允许不得进入甲方场所。</w:t>
      </w:r>
      <w:r/>
    </w:p>
    <w:p>
      <w:pPr>
        <w:ind w:left="0"/>
        <w:jc w:val="both"/>
        <w:keepLines w:val="0"/>
        <w:keepNext w:val="0"/>
        <w:pageBreakBefore w:val="0"/>
        <w:spacing w:line="288" w:lineRule="auto"/>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六、服务要求</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（一）食品质量要求</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1、食品烧（炒）熟烧（炒）透，熟制后食品完整不碎及不松散。</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2、热菜供餐时保持温热。</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3、热菜食品表面无风干及水浸现象。</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4、素食食品即时烹炒并控制过多汤汁和水分。</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5、建立严格的清洗、消毒制度，餐具要一洗、二清、三消毒，杜绝霉变、有菌食品。</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6、蔬菜须浸泡处理后再清洗加工。</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7、熟食加工时须与生食品分开加工，以免交叉感染。</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8、合理配备数量，尽量做到不少不剩，剩菜隔夜不得供应。</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9、经常了解就餐人员口味，征求用餐意见，做出营养美味的菜肴。</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供应之伙食须每餐按规定保管样菜，以供</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或卫生部门检查。</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11、杜绝日常用品及水、电等原材料的浪费。</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12、根据季节变化，调剂饭菜品种、花样，做到烹调方法多样化，营养丰富，使菜品色香味形俱佳，在节假日期间根据实际改善伙食。</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（二）服务质量要求</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1、按规定准时开餐，每餐所供食品在开餐前15分钟布置完毕。</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2、合理安排供餐人数、出餐窗口数量及分布，不可出现用餐人员等候拥挤混乱现象。</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（三）食品保存要求</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1、食品与非食品不能混放，食品仓库内不得存放有毒有害物品，不得存放个人物品和杂物。</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2、仓库内要定期清扫，保持仓库、货架清洁卫生，经常开窗或用机械通风设备通风，保持干燥。</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3、做好食品数量、质量合格证明或检验检疫证明的检查验收工作。腐烂变质、发霉生虫、有毒有害、掺杂掺假、质量不新鲜的食品，无卫生许可证的生产经营者提供的食品、来历不明确的食品不得验收入库。</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4、做好食品数量、质量入库登记，做到先进先出。</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5、食品按类别、品种分架、隔墙、离地整齐摆放，散装食品及原料储存容器加盖密封，同时经常检查，防止霉变。</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6、肉类、水产品、禽蛋等易腐食品应分别冷藏贮存。用于保存食品的冷藏设备，必须贴有明显标识并有温度显示装置。肉类、水产类分柜存放，生食品、熟食品、半成品分柜存放，杜绝生熟混放。</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7、经常检查食品质量，及时发现和处理变质、超过保质期限的食品</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8、做好防鼠、防蝇、防蟑螂工作。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（四）应急处理要求</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应配合</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做好重大应急活动的就餐保障工作。</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2、发现食物有腐烂变质现象或使用腐烂变质食物造成安全事故，需提供应急方案。</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应在收到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较大人员变动通知后立即响应并有计划的实施。</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（五）用工、卫生及安全责任要求</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服务所需用工必须符合《劳动合同法》要求，依法用工。如发生用工纠纷，由</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自行负责，</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不承担连带责任，用工调整须报</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备案。食堂内的工作人员属于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的职工，与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不存在任何雇佣、委托等劳动关系，同时食堂工作人员在工作过程中的安全责任由</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负责。如用工、用电、用水、等不注意安全引起生产事故，或发生意外伤亡事故，</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承担全部责任和经济补偿，</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概不承担任何责任。</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2、卫生要求：</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（1）食品卫生</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①生、熟、半成品分开存放，生、熟食品工具、容器分开使用，水池、水箱标识齐全；</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②冷荤部必须做到“五专”（专人、专室、专工具、专冷藏、专消毒）；</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③净料、成品、半成品的存放要离地上架；</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④食品防尘、防蝇、无变质。</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（2）环境卫生</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①饭厅、饭道的门窗及桌椅、地面、墙面整齐清洁，洗碗无残渣油垢，用餐后及时清扫餐桌和地面；</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②库房物品码放整齐，货架分类，隔地离墙，通风换气，有防灭鼠措施，冰箱生熟及半成品分开，无变质食品；</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③食堂沟、池畅通，地面整洁无垃圾，消灭蚊、蝇孳生地；</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④食堂内外划分责任区并责任到人，做到活完脚下清。每周大扫除，坚持月末卫生日活动；</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⑤食堂内无烟尘、烟头、痰迹、油垢、杂物，无老鼠、蟑螂等虫害。</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（3）个人卫生</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①持证上岗（健康证）；</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②个人卫生做到不染指甲、不戴首饰、不外露纹身，出售熟食时必须戴口罩和一次性手套；</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③穿戴好工作服、工作帽，不随地吐痰、不吸烟、不穿拖鞋，操作前后及大小便后必须洗净双手；</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④进入工作区域必须穿着工作服、离开工作区域不得穿着工作服，不准穿工作服上卫生间。更衣柜内只能存放个人衣物和洗澡用品。</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（4）设备、炊具、餐具卫生</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①炊事机械设备使用中生熟分开，使用后必须刷洗干净保持清洁，做到无锈、无油渍、无腐物，定位整齐，防止污染；</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②炊用具使用前必须清洗，使用中生熟分开，使用后洗净保持清洁，定位、盖布存放，每周进行消毒，消毒次数随季节增减；</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③餐具要到达光、洁、涩、干，每餐消毒并达到检验标准，密闭储存；</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④成品，半成品和净料容器（盆、盘、筐）定位存放，每周消毒，消毒次数随季节增减。</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整个食堂的卫生防疫、就餐环境卫生等级必须达到卫生监督部门要求的卫生标准，采购人有权监督，并定时检查。</w:t>
      </w:r>
      <w:r/>
    </w:p>
    <w:p>
      <w:pPr>
        <w:ind w:left="0" w:firstLine="480"/>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3、安全责任：</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应注重食品卫生安全。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应负责用工、用水、用电、用气安全和消防安全，明确责任人，服从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职能部门的统一管理，确保安全无事故。如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派驻人员人为造成发生食品安全、水电、燃气、消防安全等方面的安全事故，由</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承担全部责任，</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概不负责。</w:t>
      </w:r>
      <w:r/>
    </w:p>
    <w:p>
      <w:pPr>
        <w:ind w:left="0" w:firstLine="480"/>
        <w:keepLines w:val="0"/>
        <w:keepNext w:val="0"/>
        <w:pageBreakBefore w:val="0"/>
        <w:spacing w:line="288"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七、双方的权利义务</w:t>
      </w:r>
      <w:r/>
    </w:p>
    <w:p>
      <w:pPr>
        <w:ind w:left="0" w:firstLine="480"/>
        <w:keepLines w:val="0"/>
        <w:keepNext w:val="0"/>
        <w:pageBreakBefore w:val="0"/>
        <w:spacing w:line="288"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（一）甲方的权利义务</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1.甲方的权利</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依据合同约定，对乙方进行检查和考核。</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按照甲方审核认可的服装式样、颜色，乙方制作和购买乙方食堂服务人员的服装，所有服装费用均由乙方承担。</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乙方如有人员调整应经甲方同意。涉及餐厅经理、厨师长、</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服务领班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等人员的调整应提前1个月告知甲方。</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（4）拟投入人员须经甲方同意后进场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（5）服务过程中甲方有权利要求乙方调整不符合甲方要求的人员</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。甲方有权警告违反本合同规定的乙方人员。按照甲方要求，乙方更换违反本合同规定的人员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追究乙方违约责任。</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2.甲方的义务</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按合同约定支付食堂服务费。</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甲方保证交付使用的厨房和餐厅确保正常使用，正常损耗由甲方承担。</w:t>
      </w:r>
      <w:r/>
    </w:p>
    <w:p>
      <w:pPr>
        <w:pStyle w:val="1075"/>
        <w:ind w:left="0" w:firstLine="360"/>
        <w:keepLines w:val="0"/>
        <w:keepNext w:val="0"/>
        <w:pageBreakBefore w:val="0"/>
        <w:spacing w:line="288"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（二）乙方的权利义务</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1.乙方的权利</w:t>
      </w:r>
      <w:r/>
    </w:p>
    <w:p>
      <w:pPr>
        <w:pStyle w:val="1075"/>
        <w:ind w:left="0" w:firstLine="36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有权要求甲方按合同约定支付食堂服务费。</w:t>
      </w:r>
      <w:r/>
    </w:p>
    <w:p>
      <w:pPr>
        <w:pStyle w:val="1075"/>
        <w:ind w:left="0" w:firstLine="36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有权要求甲方提供必要服务用房。</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2.乙方的义务</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乙方不得分包、转包本项目；</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接受甲方的检查和考核；</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按照甲方审核认可的服装式样、颜色，乙方制作和购买乙方食堂服务人员的服装，所有服装费用均由乙方承担；</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乙方如有人员调整应经甲方书面同意。涉及餐厅经理、厨师长、</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服务领班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等人员的调整应提前1个月告知甲方；</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按照甲方要求更换违反本合同规定的人员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按甲方要求调整不符合甲方要求的人员；</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确保</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不因乙方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人为因素造成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餐厅火灾、</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水灾等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重大伤害事故、重大财产损失；</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合同终止时，乙方应将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办公</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用房、相关资料等交还给甲方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乙方应及时向甲方通告本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食堂服务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区域内有关</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食堂服务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的重大事项，及时处理投诉，接受甲方监督</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乙方未能履行本合同的约定，导致甲方或第三方人身、财产安全受到损害的，依法承担相应的法律责任。乙方对自己管理的范围内因管理不善而造成的一切损失，负相应的赔偿责任。</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乙方对本项目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食堂服务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人员进行岗前培训，不得违章指挥、强制冒险作业、违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规作业。</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 乙方负责处理本公司员工的生病、事故、伤残、死亡以及一切劳务纠纷，甲方不承担任何相关责任。乙方保证如有上述情况发生，积极处理，确保不影响甲方正常办公。</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）乙方人员应遵守甲方相关管理要求。</w:t>
      </w:r>
      <w:r/>
    </w:p>
    <w:p>
      <w:pPr>
        <w:pStyle w:val="1075"/>
        <w:ind w:left="0" w:firstLine="480"/>
        <w:keepLines w:val="0"/>
        <w:keepNext w:val="0"/>
        <w:pageBreakBefore w:val="0"/>
        <w:spacing w:line="288"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八、违约责任</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（一）甲方责任</w:t>
      </w:r>
      <w:r/>
    </w:p>
    <w:p>
      <w:pPr>
        <w:pStyle w:val="1075"/>
        <w:ind w:left="0" w:firstLine="54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乙方按合同履约，甲方按合同约定支付食堂服务费，甲方每逾期10个工作日，甲方向乙方支付当月食堂服务费（0.1）%的违约金，但违约金的总数不超过当月食堂服务费的（1）%。</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（二）乙方的责任</w:t>
      </w:r>
      <w:r/>
    </w:p>
    <w:p>
      <w:pPr>
        <w:pStyle w:val="1075"/>
        <w:ind w:left="0" w:firstLine="47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1.乙方有下列情况之一的，全额扣除当月的合同约定的 “每月食堂服务费”，且甲方有权解除合同，由此造成乙方的直接损失和间接损失，甲方不予补偿；造成甲方损失的，甲方有权要求乙方赔偿，赔偿费从食堂服务费、履约保证金（如有）中直接扣除，不足部分向乙方追索。</w:t>
      </w:r>
      <w:r/>
    </w:p>
    <w:p>
      <w:pPr>
        <w:pStyle w:val="1075"/>
        <w:ind w:left="0" w:firstLine="424"/>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乙方分包、转包本项目的；</w:t>
      </w:r>
      <w:r/>
    </w:p>
    <w:p>
      <w:pPr>
        <w:pStyle w:val="1075"/>
        <w:ind w:left="0" w:firstLine="424"/>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按照《食堂服务工作考核评分表》考核得分在75分以下的。</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2.乙方违反“第七条 （二）乙方的权利义务”中“2.乙方的义务”中(2)-（5）、（7）-(12)的，第一次发生（发现）的，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甲方有权从食堂服务费中扣1000元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。第二次发生（发现）的，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甲方有权从食堂服务费中扣2000元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，且甲方有权解除合同，由此造成乙方的直接损失和间接损失，甲方不予补偿；造成甲方损失的，甲方有权要求乙方赔偿，赔偿费从食堂服务费、履约保证金（如有）中直接扣除，不足部分向乙方追索。</w:t>
      </w:r>
      <w:r/>
    </w:p>
    <w:p>
      <w:pPr>
        <w:pStyle w:val="1075"/>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3.上述违约事项如与《食堂服务工作考核评分表》中相关内容相同，乙方应先行承担上述违约责任，乙方按照本合同承担违约责任后，甲方按照《食堂服务工作考核评分表》考核时，将不再扣减相应的分值。</w:t>
      </w:r>
      <w:r/>
    </w:p>
    <w:p>
      <w:pPr>
        <w:pStyle w:val="1075"/>
        <w:ind w:left="0" w:firstLine="480"/>
        <w:keepLines w:val="0"/>
        <w:keepNext w:val="0"/>
        <w:pageBreakBefore w:val="0"/>
        <w:spacing w:line="288"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九、其他条款</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1、本合同在下列条件全部满足后生效，生效日期以下列条件全部满足的最晚日期为准： </w:t>
      </w:r>
      <w:r/>
    </w:p>
    <w:p>
      <w:pPr>
        <w:ind w:left="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双方加盖公章或合同专用章； </w:t>
      </w:r>
      <w:r/>
    </w:p>
    <w:p>
      <w:pPr>
        <w:ind w:left="0" w:firstLine="42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甲方收到乙方按政府采购合同金额（合同总价）的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%提交的履约保证金（乙方以支票、汇票、本票或者金融机构、担保机构出具的保函等非现金形式提交给甲方）。</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2、合同的双方当事人不得擅自变更、中止或者终止合同。 </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3、双方约定，在履行合同过程中产生争议时，应通过友好协商解决，若协商不成可向甲方所在地人民法院提起诉讼。</w:t>
      </w:r>
      <w:r/>
    </w:p>
    <w:p>
      <w:pPr>
        <w:ind w:left="0" w:firstLine="480"/>
        <w:keepLines w:val="0"/>
        <w:keepNext w:val="0"/>
        <w:pageBreakBefore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4、合同其他未尽事宜及与招标文件有矛盾之处，以招标文件[项目编号：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JSZC-320300-JSKJ-G2025-0079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]为准。</w:t>
      </w:r>
      <w:r/>
    </w:p>
    <w:p>
      <w:pPr>
        <w:ind w:left="0" w:firstLine="482"/>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第十六条 合同一式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份，具有同等法律效力，甲方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份，乙方</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份。</w:t>
      </w:r>
      <w:r/>
    </w:p>
    <w:p>
      <w:pPr>
        <w:ind w:left="0" w:firstLine="482"/>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第十七条 按照《财政部关于做好政府采购信息公开工作的通知》（财库〔2015〕135号），甲方依据《保守国家秘密法》等法律制度规定确定本合同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部分涉及国家秘密，该涉及国家秘密部分不公告；甲方依据《反不正当竞争法》等法律制度的规定与乙方约定本合同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部分涉及商业秘密，该涉及商业秘密部分不公告。</w:t>
      </w:r>
      <w:r/>
    </w:p>
    <w:p>
      <w:pPr>
        <w:ind w:firstLine="480"/>
        <w:spacing w:line="12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contextualSpacing/>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   方                                   乙   方 </w:t>
      </w:r>
      <w:r/>
    </w:p>
    <w:p>
      <w:pPr>
        <w:pStyle w:val="1073"/>
        <w:contextualSpacing/>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单位签章： </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单位签章：</w:t>
      </w:r>
      <w:r/>
    </w:p>
    <w:p>
      <w:pPr>
        <w:pStyle w:val="1073"/>
        <w:contextualSpacing/>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法人签章： </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法人签章：</w:t>
      </w:r>
      <w:r/>
    </w:p>
    <w:p>
      <w:pPr>
        <w:pStyle w:val="1073"/>
        <w:contextualSpacing/>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签订日期：                                    签订日期：</w:t>
      </w:r>
      <w:r/>
    </w:p>
    <w:p>
      <w:pPr>
        <w:pStyle w:val="1073"/>
        <w:contextualSpacing/>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单位地址：                                    单位地址：</w:t>
      </w:r>
      <w:r/>
    </w:p>
    <w:p>
      <w:pPr>
        <w:pStyle w:val="1073"/>
        <w:contextualSpacing/>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开户银行： </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开户银行：</w:t>
      </w:r>
      <w:r/>
    </w:p>
    <w:p>
      <w:pPr>
        <w:pStyle w:val="1073"/>
        <w:contextualSpacing/>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银行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账</w:t>
      </w:r>
      <w:r>
        <w:rPr>
          <w:rFonts w:hint="eastAsia" w:ascii="宋体" w:hAnsi="宋体" w:cs="宋体"/>
          <w:color w:val="000000" w:themeColor="text1"/>
          <w:sz w:val="24"/>
          <w:szCs w:val="24"/>
          <w:highlight w:val="none"/>
          <w14:textFill>
            <w14:solidFill>
              <w14:schemeClr w14:val="tx1"/>
            </w14:solidFill>
          </w14:textFill>
        </w:rPr>
        <w:t xml:space="preserve">号：                                    银行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账</w:t>
      </w:r>
      <w:r>
        <w:rPr>
          <w:rFonts w:hint="eastAsia" w:ascii="宋体" w:hAnsi="宋体" w:cs="宋体"/>
          <w:color w:val="000000" w:themeColor="text1"/>
          <w:sz w:val="24"/>
          <w:szCs w:val="24"/>
          <w:highlight w:val="none"/>
          <w14:textFill>
            <w14:solidFill>
              <w14:schemeClr w14:val="tx1"/>
            </w14:solidFill>
          </w14:textFill>
        </w:rPr>
        <w:t xml:space="preserve">号：</w:t>
      </w:r>
      <w:r/>
    </w:p>
    <w:p>
      <w:pPr>
        <w:pStyle w:val="1073"/>
        <w:contextualSpacing/>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 系 人：                                    联 系 人：</w:t>
      </w:r>
      <w:r/>
    </w:p>
    <w:p>
      <w:pPr>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                                    联系电话：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6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5"/>
        <w:jc w:val="center"/>
        <w:pageBreakBefore/>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合同附件</w:t>
      </w:r>
      <w:r/>
    </w:p>
    <w:p>
      <w:pPr>
        <w:pStyle w:val="107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7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75"/>
        <w:contextualSpacing/>
        <w:spacing w:before="2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合同附</w:t>
      </w:r>
      <w:r>
        <w:rPr>
          <w:rFonts w:hint="eastAsia" w:ascii="宋体" w:hAnsi="宋体" w:eastAsia="宋体" w:cs="宋体"/>
          <w:color w:val="000000" w:themeColor="text1"/>
          <w:sz w:val="24"/>
          <w:szCs w:val="24"/>
          <w:highlight w:val="none"/>
          <w14:textFill>
            <w14:solidFill>
              <w14:schemeClr w14:val="tx1"/>
            </w14:solidFill>
          </w14:textFill>
        </w:rPr>
        <w:t xml:space="preserve">件1：</w:t>
      </w:r>
      <w:r>
        <w:rPr>
          <w:rFonts w:hint="eastAsia" w:ascii="宋体" w:hAnsi="宋体" w:cs="宋体"/>
          <w:color w:val="000000" w:themeColor="text1"/>
          <w:sz w:val="24"/>
          <w:szCs w:val="24"/>
          <w:highlight w:val="none"/>
          <w:lang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工作要求（要求见招标文件第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章《采购需求》；合同见乙方投标文件中《</w:t>
      </w:r>
      <w:r>
        <w:rPr>
          <w:rFonts w:hint="eastAsia" w:ascii="宋体" w:hAnsi="宋体" w:cs="宋体"/>
          <w:bCs/>
          <w:color w:val="000000" w:themeColor="text1"/>
          <w:sz w:val="24"/>
          <w:szCs w:val="24"/>
          <w:highlight w:val="none"/>
          <w:lang w:eastAsia="zh-CN"/>
          <w14:textFill>
            <w14:solidFill>
              <w14:schemeClr w14:val="tx1"/>
            </w14:solidFill>
          </w14:textFill>
        </w:rPr>
        <w:t xml:space="preserve">服务</w:t>
      </w:r>
      <w:r>
        <w:rPr>
          <w:rFonts w:hint="eastAsia" w:ascii="宋体" w:hAnsi="宋体" w:eastAsia="宋体" w:cs="宋体"/>
          <w:bCs/>
          <w:color w:val="000000" w:themeColor="text1"/>
          <w:sz w:val="24"/>
          <w:szCs w:val="24"/>
          <w:highlight w:val="none"/>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合同附件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：采购需求(见招标文件第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章《采购需求》)</w:t>
      </w:r>
      <w:r/>
    </w:p>
    <w:p>
      <w:pPr>
        <w:pStyle w:val="117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78"/>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合同附件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食堂</w:t>
      </w:r>
      <w:r>
        <w:rPr>
          <w:rFonts w:hint="eastAsia" w:ascii="宋体" w:hAnsi="宋体" w:cs="宋体"/>
          <w:color w:val="000000" w:themeColor="text1"/>
          <w:sz w:val="24"/>
          <w:szCs w:val="24"/>
          <w:highlight w:val="none"/>
          <w:lang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工作考核评分表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075"/>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pStyle w:val="1075"/>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合同附件4：保密承诺</w:t>
      </w:r>
      <w:r/>
    </w:p>
    <w:p>
      <w:pPr>
        <w:pStyle w:val="1166"/>
        <w:rPr>
          <w:rFonts w:hint="eastAsia"/>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000000" w:themeColor="text1"/>
          <w:highlight w:val="none"/>
          <w14:textFill>
            <w14:solidFill>
              <w14:schemeClr w14:val="tx1"/>
            </w14:solidFill>
          </w14:textFill>
        </w:rPr>
      </w:r>
      <w:r/>
    </w:p>
    <w:p>
      <w:pPr>
        <w:jc w:val="left"/>
        <w:spacing w:line="360" w:lineRule="auto"/>
        <w:rPr>
          <w:rFonts w:hint="default"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outlineLvl w:val="9"/>
      </w:pP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合同附件3</w:t>
      </w:r>
      <w:r/>
    </w:p>
    <w:tbl>
      <w:tblPr>
        <w:tblStyle w:val="1007"/>
        <w:tblW w:w="9882"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42"/>
        <w:gridCol w:w="992"/>
        <w:gridCol w:w="29"/>
        <w:gridCol w:w="1105"/>
        <w:gridCol w:w="850"/>
        <w:gridCol w:w="709"/>
        <w:gridCol w:w="4912"/>
        <w:gridCol w:w="743"/>
      </w:tblGrid>
      <w:tr>
        <w:trPr>
          <w:trHeight w:val="90"/>
        </w:trPr>
        <w:tc>
          <w:tcPr>
            <w:gridSpan w:val="8"/>
            <w:tcW w:w="9882" w:type="dxa"/>
            <w:vAlign w:val="center"/>
            <w:textDirection w:val="lrTb"/>
            <w:noWrap w:val="false"/>
          </w:tcPr>
          <w:p>
            <w:pPr>
              <w:pStyle w:val="1075"/>
              <w:jc w:val="center"/>
              <w:widowControl/>
              <w:rPr>
                <w:rFonts w:ascii="宋体" w:hAnsi="宋体"/>
                <w:color w:val="000000" w:themeColor="text1"/>
                <w:sz w:val="24"/>
                <w:highlight w:val="none"/>
                <w14:textFill>
                  <w14:solidFill>
                    <w14:schemeClr w14:val="tx1"/>
                  </w14:solidFill>
                </w14:textFill>
              </w:rPr>
            </w:pPr>
            <w:r>
              <w:rPr>
                <w:rStyle w:val="1366"/>
                <w:b/>
                <w:bCs/>
                <w:color w:val="000000" w:themeColor="text1"/>
                <w:sz w:val="28"/>
                <w:szCs w:val="28"/>
                <w:highlight w:val="none"/>
                <w:lang w:bidi="en-US"/>
                <w14:textFill>
                  <w14:solidFill>
                    <w14:schemeClr w14:val="tx1"/>
                  </w14:solidFill>
                </w14:textFill>
              </w:rPr>
              <w:t xml:space="preserve">食堂服务工作考核评分表</w:t>
            </w:r>
            <w:r/>
          </w:p>
        </w:tc>
      </w:tr>
      <w:tr>
        <w:trPr>
          <w:trHeight w:val="780"/>
        </w:trPr>
        <w:tc>
          <w:tcPr>
            <w:tcW w:w="542" w:type="dxa"/>
            <w:vAlign w:val="center"/>
            <w:textDirection w:val="lrTb"/>
            <w:noWrap w:val="false"/>
          </w:tcPr>
          <w:p>
            <w:pPr>
              <w:pStyle w:val="1075"/>
              <w:jc w:val="center"/>
              <w:widowControl/>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lang w:bidi="en-US"/>
                <w14:textFill>
                  <w14:solidFill>
                    <w14:schemeClr w14:val="tx1"/>
                  </w14:solidFill>
                </w14:textFill>
              </w:rPr>
              <w:t xml:space="preserve">序号</w:t>
            </w:r>
            <w:r/>
          </w:p>
        </w:tc>
        <w:tc>
          <w:tcPr>
            <w:tcW w:w="992" w:type="dxa"/>
            <w:vAlign w:val="center"/>
            <w:textDirection w:val="lrTb"/>
            <w:noWrap w:val="false"/>
          </w:tcPr>
          <w:p>
            <w:pPr>
              <w:pStyle w:val="1075"/>
              <w:jc w:val="center"/>
              <w:widowControl/>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lang w:bidi="en-US"/>
                <w14:textFill>
                  <w14:solidFill>
                    <w14:schemeClr w14:val="tx1"/>
                  </w14:solidFill>
                </w14:textFill>
              </w:rPr>
              <w:t xml:space="preserve">项目</w:t>
            </w:r>
            <w:r/>
          </w:p>
        </w:tc>
        <w:tc>
          <w:tcPr>
            <w:gridSpan w:val="2"/>
            <w:tcW w:w="1134" w:type="dxa"/>
            <w:vAlign w:val="center"/>
            <w:textDirection w:val="lrTb"/>
            <w:noWrap w:val="false"/>
          </w:tcPr>
          <w:p>
            <w:pPr>
              <w:pStyle w:val="1075"/>
              <w:jc w:val="center"/>
              <w:widowControl/>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lang w:bidi="en-US"/>
                <w14:textFill>
                  <w14:solidFill>
                    <w14:schemeClr w14:val="tx1"/>
                  </w14:solidFill>
                </w14:textFill>
              </w:rPr>
              <w:t xml:space="preserve">子项</w:t>
            </w:r>
            <w:r/>
          </w:p>
        </w:tc>
        <w:tc>
          <w:tcPr>
            <w:tcW w:w="850" w:type="dxa"/>
            <w:vAlign w:val="center"/>
            <w:textDirection w:val="lrTb"/>
            <w:noWrap w:val="false"/>
          </w:tcPr>
          <w:p>
            <w:pPr>
              <w:pStyle w:val="1075"/>
              <w:jc w:val="center"/>
              <w:widowControl/>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lang w:bidi="en-US"/>
                <w14:textFill>
                  <w14:solidFill>
                    <w14:schemeClr w14:val="tx1"/>
                  </w14:solidFill>
                </w14:textFill>
              </w:rPr>
              <w:t xml:space="preserve">分值</w:t>
            </w:r>
            <w:r/>
          </w:p>
        </w:tc>
        <w:tc>
          <w:tcPr>
            <w:tcW w:w="709" w:type="dxa"/>
            <w:vAlign w:val="center"/>
            <w:textDirection w:val="lrTb"/>
            <w:noWrap w:val="false"/>
          </w:tcPr>
          <w:p>
            <w:pPr>
              <w:pStyle w:val="1075"/>
              <w:jc w:val="center"/>
              <w:widowControl/>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lang w:bidi="en-US"/>
                <w14:textFill>
                  <w14:solidFill>
                    <w14:schemeClr w14:val="tx1"/>
                  </w14:solidFill>
                </w14:textFill>
              </w:rPr>
              <w:t xml:space="preserve">实际得分</w:t>
            </w:r>
            <w:r/>
          </w:p>
        </w:tc>
        <w:tc>
          <w:tcPr>
            <w:gridSpan w:val="2"/>
            <w:tcW w:w="5655" w:type="dxa"/>
            <w:vAlign w:val="center"/>
            <w:textDirection w:val="lrTb"/>
            <w:noWrap w:val="false"/>
          </w:tcPr>
          <w:p>
            <w:pPr>
              <w:pStyle w:val="1075"/>
              <w:jc w:val="center"/>
              <w:widowControl/>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lang w:bidi="en-US"/>
                <w14:textFill>
                  <w14:solidFill>
                    <w14:schemeClr w14:val="tx1"/>
                  </w14:solidFill>
                </w14:textFill>
              </w:rPr>
              <w:t xml:space="preserve">备注</w:t>
            </w:r>
            <w:r/>
          </w:p>
        </w:tc>
      </w:tr>
      <w:tr>
        <w:trPr>
          <w:trHeight w:val="392"/>
        </w:trPr>
        <w:tc>
          <w:tcPr>
            <w:tcW w:w="542"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w:t>
            </w:r>
            <w:r/>
          </w:p>
        </w:tc>
        <w:tc>
          <w:tcPr>
            <w:tcW w:w="992"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公司规范管理</w:t>
            </w:r>
            <w:r/>
          </w:p>
        </w:tc>
        <w:tc>
          <w:tcPr>
            <w:gridSpan w:val="2"/>
            <w:tcW w:w="1134" w:type="dxa"/>
            <w:vAlign w:val="center"/>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公司管理制度</w:t>
            </w:r>
            <w:r/>
          </w:p>
        </w:tc>
        <w:tc>
          <w:tcPr>
            <w:tcW w:w="850"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（10分）</w:t>
            </w:r>
            <w:r/>
          </w:p>
        </w:tc>
        <w:tc>
          <w:tcPr>
            <w:tcW w:w="709"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公司管理制度缺失或不合理的扣1分。</w:t>
            </w:r>
            <w:r/>
          </w:p>
        </w:tc>
      </w:tr>
      <w:tr>
        <w:trPr>
          <w:trHeight w:val="365"/>
        </w:trPr>
        <w:tc>
          <w:tcPr>
            <w:tcW w:w="54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1134"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台账记录</w:t>
            </w:r>
            <w:r/>
          </w:p>
        </w:tc>
        <w:tc>
          <w:tcPr>
            <w:tcW w:w="850"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709"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1、仓库进出没有明细的扣1分，管理不到位扣1分；</w:t>
            </w:r>
            <w:r/>
          </w:p>
        </w:tc>
      </w:tr>
      <w:tr>
        <w:trPr>
          <w:trHeight w:val="90"/>
        </w:trPr>
        <w:tc>
          <w:tcPr>
            <w:tcW w:w="54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1134"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850"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709"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2、水电气日消耗无记录扣1分；</w:t>
            </w:r>
            <w:r/>
          </w:p>
        </w:tc>
      </w:tr>
      <w:tr>
        <w:trPr>
          <w:trHeight w:val="317"/>
        </w:trPr>
        <w:tc>
          <w:tcPr>
            <w:tcW w:w="54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1134"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850"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709"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3、设施维护保养记录缺失扣1分；</w:t>
            </w:r>
            <w:r/>
          </w:p>
        </w:tc>
      </w:tr>
      <w:tr>
        <w:trPr>
          <w:trHeight w:val="270"/>
        </w:trPr>
        <w:tc>
          <w:tcPr>
            <w:tcW w:w="54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1134"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850"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709"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4、固定资产及易耗品盘点记录不明的扣1分；</w:t>
            </w:r>
            <w:r/>
          </w:p>
        </w:tc>
      </w:tr>
      <w:tr>
        <w:trPr>
          <w:trHeight w:val="297"/>
        </w:trPr>
        <w:tc>
          <w:tcPr>
            <w:tcW w:w="54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1134"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850"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709"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5、成本核算工作有失误，记录不明的扣2分，并承担相应后果；</w:t>
            </w:r>
            <w:r/>
          </w:p>
        </w:tc>
      </w:tr>
      <w:tr>
        <w:trPr>
          <w:trHeight w:val="90"/>
        </w:trPr>
        <w:tc>
          <w:tcPr>
            <w:tcW w:w="54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1134" w:type="dxa"/>
            <w:vAlign w:val="center"/>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消防培训、演练</w:t>
            </w:r>
            <w:r/>
          </w:p>
        </w:tc>
        <w:tc>
          <w:tcPr>
            <w:tcW w:w="850"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709"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未按消防规范要求进行消防培训、演练的扣1分。</w:t>
            </w:r>
            <w:r/>
          </w:p>
        </w:tc>
      </w:tr>
      <w:tr>
        <w:trPr>
          <w:trHeight w:val="303"/>
        </w:trPr>
        <w:tc>
          <w:tcPr>
            <w:tcW w:w="54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1134" w:type="dxa"/>
            <w:vAlign w:val="center"/>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出勤考核</w:t>
            </w:r>
            <w:r/>
          </w:p>
        </w:tc>
        <w:tc>
          <w:tcPr>
            <w:tcW w:w="850"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709"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未设置明确的出勤考核制度的扣1分。</w:t>
            </w:r>
            <w:r/>
          </w:p>
        </w:tc>
      </w:tr>
      <w:tr>
        <w:trPr>
          <w:trHeight w:val="351"/>
        </w:trPr>
        <w:tc>
          <w:tcPr>
            <w:tcW w:w="54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1134" w:type="dxa"/>
            <w:vAlign w:val="center"/>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人员档案</w:t>
            </w:r>
            <w:r/>
          </w:p>
        </w:tc>
        <w:tc>
          <w:tcPr>
            <w:tcW w:w="850"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709"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未建立完整完善的人员档案的扣1分。</w:t>
            </w:r>
            <w:r/>
          </w:p>
        </w:tc>
      </w:tr>
      <w:tr>
        <w:trPr>
          <w:trHeight w:val="558"/>
        </w:trPr>
        <w:tc>
          <w:tcPr>
            <w:tcW w:w="542"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w:t>
            </w:r>
            <w:r/>
          </w:p>
        </w:tc>
        <w:tc>
          <w:tcPr>
            <w:tcW w:w="992"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人员配置及管理</w:t>
            </w:r>
            <w:r/>
          </w:p>
        </w:tc>
        <w:tc>
          <w:tcPr>
            <w:gridSpan w:val="2"/>
            <w:tcW w:w="1134" w:type="dxa"/>
            <w:vAlign w:val="center"/>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持证上岗</w:t>
            </w:r>
            <w:r/>
          </w:p>
        </w:tc>
        <w:tc>
          <w:tcPr>
            <w:tcW w:w="850"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（20分）</w:t>
            </w:r>
            <w:r/>
          </w:p>
        </w:tc>
        <w:tc>
          <w:tcPr>
            <w:tcW w:w="709" w:type="dxa"/>
            <w:vAlign w:val="center"/>
            <w:vMerge w:val="restart"/>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人员按要求持上岗证，无证上岗，每人扣1分。</w:t>
            </w:r>
            <w:r/>
          </w:p>
        </w:tc>
      </w:tr>
      <w:tr>
        <w:trPr>
          <w:trHeight w:val="733"/>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技能培训</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员工应了解公安工作基本常识，各工种相关技能应在上岗前进行培训，合格后方可上岗。未经岗前培训，每人扣1分。</w:t>
            </w:r>
            <w:r/>
          </w:p>
        </w:tc>
      </w:tr>
      <w:tr>
        <w:trPr>
          <w:trHeight w:val="60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人员配置</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1、业主每月对中标单位最低配备的人数进行出勤考核。少一人/次扣2分，扣完为止；</w:t>
            </w:r>
            <w:r/>
          </w:p>
        </w:tc>
      </w:tr>
      <w:tr>
        <w:trPr>
          <w:trHeight w:val="60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2、实际配置人员资质未按响应文件配置的，项目经理等主要成员每人扣2分，其他人员每人扣1分。</w:t>
            </w:r>
            <w:r/>
          </w:p>
        </w:tc>
      </w:tr>
      <w:tr>
        <w:trPr>
          <w:trHeight w:val="506"/>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3、人员变动率3个月超过10%，全年超过30%（采购方认为不合格要求更换的除外）的扣5分。</w:t>
            </w:r>
            <w:r/>
          </w:p>
        </w:tc>
      </w:tr>
      <w:tr>
        <w:trPr>
          <w:trHeight w:val="304"/>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考勤情况</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1、未按规定履行请销假制度，发现一起扣1分；</w:t>
            </w:r>
            <w:r/>
          </w:p>
        </w:tc>
      </w:tr>
      <w:tr>
        <w:trPr>
          <w:trHeight w:val="247"/>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2、发现人员迟到早退，发现一起，扣1分；</w:t>
            </w:r>
            <w:r/>
          </w:p>
        </w:tc>
      </w:tr>
      <w:tr>
        <w:trPr>
          <w:trHeight w:val="154"/>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3、工作时间擅离职守、不在工作岗位，扣1分；</w:t>
            </w:r>
            <w:r/>
          </w:p>
        </w:tc>
      </w:tr>
      <w:tr>
        <w:trPr>
          <w:trHeight w:val="23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4、员工请假超过2天，未及时安排人员上班，扣2分。</w:t>
            </w:r>
            <w:r/>
          </w:p>
        </w:tc>
      </w:tr>
      <w:tr>
        <w:trPr>
          <w:trHeight w:val="76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勤务规范</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1、员工统一着工装，服装整洁，佩戴工牌，按工作流程认真履职，每一人出现问题扣0.5－1分，扣完为止；</w:t>
            </w:r>
            <w:r/>
          </w:p>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2、上班时间三两成群聚集聊天或大声喧哗等，扣1分；</w:t>
            </w:r>
            <w:r/>
          </w:p>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3、值班室、办公室或操作间较乱或个人物品乱放乱挂，扣1分；</w:t>
            </w:r>
            <w:r/>
          </w:p>
        </w:tc>
      </w:tr>
      <w:tr>
        <w:trPr>
          <w:trHeight w:val="48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4、个人卫生不符合文件的要求个人卫生(做到不染指甲、不戴首饰、不外露纹身),未按规定扣1分；</w:t>
            </w:r>
            <w:r/>
          </w:p>
        </w:tc>
      </w:tr>
      <w:tr>
        <w:trPr>
          <w:trHeight w:val="48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5、进入工作区域必须穿着工作服、离开工作区域不得穿着工作服，未按规定扣1分；</w:t>
            </w:r>
            <w:r/>
          </w:p>
        </w:tc>
      </w:tr>
      <w:tr>
        <w:trPr>
          <w:trHeight w:val="46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6、不得在工作岗位上吸烟、吐痰、闲聊或做与工作无关的事情等，未按规定扣1分；</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7、工作人员私自调岗或睡岗的，扣1分，酒后上岗的扣10分；</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8、员工之间发生吵架对骂或打架斗殴的视情扣2-10分；</w:t>
            </w:r>
            <w:r/>
          </w:p>
        </w:tc>
      </w:tr>
      <w:tr>
        <w:trPr>
          <w:trHeight w:val="555"/>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restart"/>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对人员要求</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1、服务时说话不文明，态度生硬扣1分（要求做到微笑服务，和蔼可亲）；</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2、被有效投诉的，每次扣1分</w:t>
            </w:r>
            <w:r/>
          </w:p>
        </w:tc>
      </w:tr>
      <w:tr>
        <w:trPr>
          <w:trHeight w:val="42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3、出现员工泄露甲方单位事项的扣2-10分，并追究相应责任；</w:t>
            </w:r>
            <w:r/>
          </w:p>
        </w:tc>
      </w:tr>
      <w:tr>
        <w:trPr>
          <w:trHeight w:val="291"/>
        </w:trPr>
        <w:tc>
          <w:tcPr>
            <w:tcW w:w="542" w:type="dxa"/>
            <w:vAlign w:val="center"/>
            <w:vMerge w:val="restart"/>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w:t>
            </w:r>
            <w:r/>
          </w:p>
        </w:tc>
        <w:tc>
          <w:tcPr>
            <w:tcW w:w="992"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安全管理及节能管理</w:t>
            </w:r>
            <w:r/>
          </w:p>
        </w:tc>
        <w:tc>
          <w:tcPr>
            <w:gridSpan w:val="2"/>
            <w:tcW w:w="1134"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安全管理</w:t>
            </w:r>
            <w:r/>
          </w:p>
        </w:tc>
        <w:tc>
          <w:tcPr>
            <w:tcW w:w="850" w:type="dxa"/>
            <w:vAlign w:val="center"/>
            <w:vMerge w:val="restart"/>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（20分）</w:t>
            </w:r>
            <w:r/>
          </w:p>
        </w:tc>
        <w:tc>
          <w:tcPr>
            <w:tcW w:w="709" w:type="dxa"/>
            <w:vAlign w:val="center"/>
            <w:vMerge w:val="restart"/>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1、值班人员擅离岗位的扣2分；</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gridSpan w:val="2"/>
            <w:tcW w:w="1134"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lang w:bidi="en-US"/>
                <w14:textFill>
                  <w14:solidFill>
                    <w14:schemeClr w14:val="tx1"/>
                  </w14:solidFill>
                </w14:textFill>
              </w:rPr>
            </w:pPr>
            <w:r>
              <w:rPr>
                <w:rFonts w:ascii="宋体" w:hAnsi="宋体" w:cs="宋体"/>
                <w:color w:val="000000" w:themeColor="text1"/>
                <w:sz w:val="18"/>
                <w:szCs w:val="18"/>
                <w:highlight w:val="none"/>
                <w:lang w:bidi="en-US"/>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2、贵重物品未按规定存放，保管造成损失的扣2分，并追究相应责任；</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3、违反操作规程造成事故的扣20分，并追究相应责任；</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4、人为损害采购方财物设备的扣5-10分，并追究相应责任；</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5、紧急情况未按预案合理处置的，扣2-10分；</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节能管理</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1、未能及时关闭水电气等设备的扣2-5分；</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2、管理不到位，浪费现象严重的扣2-5分；</w:t>
            </w:r>
            <w:r/>
          </w:p>
        </w:tc>
      </w:tr>
      <w:tr>
        <w:trPr>
          <w:trHeight w:val="291"/>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3、未能计算成本合理供求造成原材料浪费的视情况扣2-5分。</w:t>
            </w:r>
            <w:r/>
          </w:p>
        </w:tc>
      </w:tr>
      <w:tr>
        <w:trPr>
          <w:trHeight w:val="291"/>
        </w:trPr>
        <w:tc>
          <w:tcPr>
            <w:tcW w:w="542"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4</w:t>
            </w:r>
            <w:r/>
          </w:p>
        </w:tc>
        <w:tc>
          <w:tcPr>
            <w:tcW w:w="992"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食堂管理</w:t>
            </w:r>
            <w:r/>
          </w:p>
        </w:tc>
        <w:tc>
          <w:tcPr>
            <w:gridSpan w:val="2"/>
            <w:tcW w:w="1134" w:type="dxa"/>
            <w:vAlign w:val="center"/>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自查服务</w:t>
            </w:r>
            <w:r/>
          </w:p>
        </w:tc>
        <w:tc>
          <w:tcPr>
            <w:tcW w:w="850"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（50分）</w:t>
            </w:r>
            <w:r/>
          </w:p>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restart"/>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无当月自查报告的扣2分；</w:t>
            </w:r>
            <w:r/>
          </w:p>
        </w:tc>
      </w:tr>
      <w:tr>
        <w:trPr>
          <w:trHeight w:val="240"/>
        </w:trPr>
        <w:tc>
          <w:tcPr>
            <w:tcW w:w="54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服务态度及要求</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1、未按规定时间开饭超过5分钟，扣2分；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2、饭菜供应不上，影响正常用餐秩序，扣1分；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3、服务时与就餐人员发生吵架对骂或是打架斗殴视情况扣2-10分；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日常保洁</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1、餐厅、操作间、更衣室等脏乱，积灰，蜘蛛网等现象扣2分；</w:t>
            </w:r>
            <w:r/>
          </w:p>
        </w:tc>
      </w:tr>
      <w:tr>
        <w:trPr>
          <w:trHeight w:val="60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2、灶台及周围使用后没有打扫干净，地板、面板墩头使用后未打扫干净，油烟机未清理有油污的扣1分/次；</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3、售饭菜窗口，餐桌、餐椅未打扫干净或摆放不整齐扣1分；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4、下水道不通外溢未处理，洗碗池有脏污扣1分；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5、未提前清洁区域卫生，整理餐桌椅，未及时做好开餐准备，发现一起扣1分。</w:t>
            </w:r>
            <w:r/>
          </w:p>
        </w:tc>
      </w:tr>
      <w:tr>
        <w:trPr>
          <w:trHeight w:val="30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restart"/>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餐饮卫生</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1、出品的主副食有异物或夹生扣1-5分；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2、食品有异味扣1-5分；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3、使用霉烂变质食品扣10-20分；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4、生熟未分开存放或菜品被严重烧焦、炒糊、盐味过重等现象扣1分；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5、剩饭剩菜未及时处理或妥善保存造成损失的扣1分；</w:t>
            </w:r>
            <w:r/>
          </w:p>
        </w:tc>
      </w:tr>
      <w:tr>
        <w:trPr>
          <w:trHeight w:val="5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6、着装整洁。在工作岗位上穿统一工作服，售卖处戴一次性手套口罩等，出售食品时不用专用工具直接用手接触的扣1分；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7、餐饮工具用后不洗或未洗干净未作消毒处理投入使用的扣1分；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8、荤菜素菜未洗干净使用的扣1分；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9、造成食物中毒事故的扣20-50分；</w:t>
            </w:r>
            <w:r/>
          </w:p>
        </w:tc>
      </w:tr>
      <w:tr>
        <w:trPr>
          <w:trHeight w:val="24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10、未按采购方要求供应品种的，每天扣1-5分；</w:t>
            </w:r>
            <w:r/>
          </w:p>
        </w:tc>
      </w:tr>
      <w:tr>
        <w:trPr>
          <w:trHeight w:val="460"/>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11、原料、半成品、成品原则上做的日清，确有剩余应按食品安全法要求妥善保管，未及时按规定存放的发现一次扣2分；</w:t>
            </w:r>
            <w:r/>
          </w:p>
        </w:tc>
      </w:tr>
      <w:tr>
        <w:trPr>
          <w:trHeight w:val="402"/>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12、不按规定进行食物留样、化验，扣2分。</w:t>
            </w:r>
            <w:r/>
          </w:p>
        </w:tc>
      </w:tr>
      <w:tr>
        <w:trPr>
          <w:trHeight w:val="402"/>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13、未按规定履行食品采购验收制度，发现一起扣2分（随机抽查）。</w:t>
            </w:r>
            <w:r/>
          </w:p>
        </w:tc>
      </w:tr>
      <w:tr>
        <w:trPr>
          <w:trHeight w:val="402"/>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14、对原材料存放不规范的，扣1-2分</w:t>
            </w:r>
            <w:r/>
          </w:p>
        </w:tc>
      </w:tr>
      <w:tr>
        <w:trPr>
          <w:trHeight w:val="402"/>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restart"/>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工作规范</w:t>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1、员工穿工作服上卫生间的，扣2分；</w:t>
            </w:r>
            <w:r/>
          </w:p>
        </w:tc>
      </w:tr>
      <w:tr>
        <w:trPr>
          <w:trHeight w:val="402"/>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2、食堂出现安全隐患，未能及时处理的扣2分；</w:t>
            </w:r>
            <w:r/>
          </w:p>
        </w:tc>
      </w:tr>
      <w:tr>
        <w:trPr>
          <w:trHeight w:val="402"/>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3、出现服务人员私拿采购方设备、厨具、食材等财物的，扣5分，并追究相应责任；</w:t>
            </w:r>
            <w:r/>
          </w:p>
        </w:tc>
      </w:tr>
      <w:tr>
        <w:trPr>
          <w:trHeight w:val="402"/>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lang w:bidi="en-US"/>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4、刀具等设备未按规定放置的扣2分；</w:t>
            </w:r>
            <w:r/>
          </w:p>
        </w:tc>
      </w:tr>
      <w:tr>
        <w:trPr>
          <w:trHeight w:val="402"/>
        </w:trPr>
        <w:tc>
          <w:tcPr>
            <w:tcW w:w="54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992"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134"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850"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709" w:type="dxa"/>
            <w:vAlign w:val="center"/>
            <w:vMerge w:val="continue"/>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5655" w:type="dxa"/>
            <w:vAlign w:val="center"/>
            <w:textDirection w:val="lrTb"/>
            <w:noWrap w:val="false"/>
          </w:tcPr>
          <w:p>
            <w:pPr>
              <w:pStyle w:val="1075"/>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5、人为原因造成餐厅火灾、水灾等重大伤害事故、重大财产损失的，扣20-50分，并追究相应责任；</w:t>
            </w:r>
            <w:r/>
          </w:p>
        </w:tc>
      </w:tr>
      <w:tr>
        <w:trPr>
          <w:trHeight w:val="311"/>
        </w:trPr>
        <w:tc>
          <w:tcPr>
            <w:gridSpan w:val="4"/>
            <w:tcW w:w="2668" w:type="dxa"/>
            <w:vAlign w:val="center"/>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考核结果：</w:t>
            </w:r>
            <w:r/>
          </w:p>
        </w:tc>
        <w:tc>
          <w:tcPr>
            <w:tcW w:w="850" w:type="dxa"/>
            <w:vAlign w:val="center"/>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100分</w:t>
            </w:r>
            <w:r/>
          </w:p>
        </w:tc>
        <w:tc>
          <w:tcPr>
            <w:gridSpan w:val="3"/>
            <w:tcW w:w="6364" w:type="dxa"/>
            <w:vAlign w:val="center"/>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trHeight w:val="518"/>
        </w:trPr>
        <w:tc>
          <w:tcPr>
            <w:gridSpan w:val="3"/>
            <w:tcW w:w="1563" w:type="dxa"/>
            <w:vAlign w:val="center"/>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考核人员签名：</w:t>
            </w:r>
            <w:r/>
          </w:p>
        </w:tc>
        <w:tc>
          <w:tcPr>
            <w:gridSpan w:val="3"/>
            <w:tcW w:w="2664" w:type="dxa"/>
            <w:vAlign w:val="center"/>
            <w:textDirection w:val="lrTb"/>
            <w:noWrap w:val="false"/>
          </w:tcPr>
          <w:p>
            <w:pPr>
              <w:pStyle w:val="1075"/>
              <w:jc w:val="center"/>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W w:w="4912" w:type="dxa"/>
            <w:vAlign w:val="center"/>
            <w:textDirection w:val="lrTb"/>
            <w:noWrap w:val="false"/>
          </w:tcPr>
          <w:p>
            <w:pPr>
              <w:pStyle w:val="1075"/>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en-US"/>
                <w14:textFill>
                  <w14:solidFill>
                    <w14:schemeClr w14:val="tx1"/>
                  </w14:solidFill>
                </w14:textFill>
              </w:rPr>
              <w:t xml:space="preserve">服务人员签名：</w:t>
            </w:r>
            <w:r/>
          </w:p>
        </w:tc>
        <w:tc>
          <w:tcPr>
            <w:tcW w:w="743" w:type="dxa"/>
            <w:vAlign w:val="center"/>
            <w:textDirection w:val="lrTb"/>
            <w:noWrap w:val="false"/>
          </w:tcPr>
          <w:p>
            <w:pPr>
              <w:pStyle w:val="1075"/>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bl>
    <w:p>
      <w:pPr>
        <w:rPr>
          <w:rFonts w:hint="eastAsia"/>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合同附件</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p>
    <w:p>
      <w:pPr>
        <w:jc w:val="center"/>
        <w:rPr>
          <w:rFonts w:ascii="Times New Roman" w:hAnsi="Times New Roman" w:eastAsia="宋体" w:cs="Times New Roman"/>
          <w:color w:val="000000" w:themeColor="text1"/>
          <w:sz w:val="32"/>
          <w:szCs w:val="22"/>
          <w:highlight w:val="none"/>
          <w14:textFill>
            <w14:solidFill>
              <w14:schemeClr w14:val="tx1"/>
            </w14:solidFill>
          </w14:textFill>
        </w:rPr>
      </w:pPr>
      <w:r>
        <w:rPr>
          <w:rFonts w:hint="eastAsia" w:ascii="Times New Roman" w:hAnsi="Times New Roman" w:eastAsia="宋体" w:cs="Times New Roman"/>
          <w:color w:val="000000" w:themeColor="text1"/>
          <w:sz w:val="32"/>
          <w:szCs w:val="22"/>
          <w:highlight w:val="none"/>
          <w14:textFill>
            <w14:solidFill>
              <w14:schemeClr w14:val="tx1"/>
            </w14:solidFill>
          </w14:textFill>
        </w:rPr>
        <w:t xml:space="preserve">《保密承诺》</w:t>
      </w:r>
      <w:r/>
    </w:p>
    <w:p>
      <w:pPr>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（甲方名称）：</w:t>
      </w:r>
      <w:r/>
    </w:p>
    <w:p>
      <w:pPr>
        <w:ind w:firstLine="48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参加贵单位的活动，我单位承诺按照以下条件对徐州市公安局有关信息进行保密：</w:t>
      </w:r>
      <w:r/>
    </w:p>
    <w:p>
      <w:pPr>
        <w:ind w:firstLine="48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1．不将徐州市公安局披露的任何信息用于项目之外的任何目的。</w:t>
      </w:r>
      <w:r/>
    </w:p>
    <w:p>
      <w:pPr>
        <w:ind w:firstLine="48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2．不将为徐州市公安局提供的任何信息以任何形式向第三方披露、泄露、出售、交易、公布、复制或使用。</w:t>
      </w:r>
      <w:r/>
    </w:p>
    <w:p>
      <w:pPr>
        <w:ind w:firstLine="48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3．按照政府行业主管部门要求上报涉及徐州市公安局的所有信息，均经徐州市公安局审查批准。</w:t>
      </w:r>
      <w:r/>
    </w:p>
    <w:p>
      <w:pPr>
        <w:ind w:firstLine="48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4．本承诺书的保密义务期限：长期。</w:t>
      </w:r>
      <w:r/>
    </w:p>
    <w:p>
      <w:pPr>
        <w:ind w:firstLine="48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5．除以上承诺我单位将实行以下措施来确保保密工作的有效性：</w:t>
      </w:r>
      <w:r/>
    </w:p>
    <w:p>
      <w:pPr>
        <w:ind w:firstLine="48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w:t>
      </w:r>
      <w:r/>
    </w:p>
    <w:p>
      <w:pPr>
        <w:ind w:firstLine="48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w:t>
      </w:r>
      <w:r/>
    </w:p>
    <w:p>
      <w:pPr>
        <w:ind w:firstLine="48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w:t>
      </w:r>
      <w:r/>
    </w:p>
    <w:p>
      <w:pPr>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84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承诺人全称（盖章）：    </w:t>
      </w:r>
      <w:r/>
    </w:p>
    <w:p>
      <w:pPr>
        <w:ind w:left="0" w:firstLine="84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84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法定代表人（签字）：    </w:t>
      </w:r>
      <w:r/>
    </w:p>
    <w:p>
      <w:pPr>
        <w:ind w:left="0" w:firstLine="84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84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项目负责人（签字）：             </w:t>
      </w:r>
      <w:r/>
    </w:p>
    <w:p>
      <w:pPr>
        <w:ind w:left="0" w:firstLine="840"/>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840"/>
        <w:keepLines w:val="0"/>
        <w:keepNext w:val="0"/>
        <w:pageBreakBefore w:val="0"/>
        <w:spacing w:line="288" w:lineRule="auto"/>
        <w:widowControl w:val="off"/>
        <w:rPr>
          <w:rFonts w:ascii="Times New Roman" w:hAnsi="Times New Roman" w:eastAsia="宋体" w:cs="Times New Roman"/>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0"/>
      </w:pPr>
      <w:r/>
      <w:bookmarkStart w:id="13" w:name="_Toc19130"/>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第七章  投标文件相关格式</w:t>
      </w:r>
      <w:bookmarkEnd w:id="13"/>
      <w:r/>
      <w:r/>
    </w:p>
    <w:p>
      <w:pPr>
        <w:pStyle w:val="1075"/>
        <w:jc w:val="center"/>
        <w:spacing w:line="360" w:lineRule="auto"/>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本章仅提供投标文件中的部分文件格式，不应被理解为包含了投标文件所需的全部资料）</w:t>
      </w:r>
      <w:r/>
    </w:p>
    <w:p>
      <w:pPr>
        <w:jc w:val="cente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 xml:space="preserve">徐州市公安局刑侦支队新警犬基地食堂服务</w:t>
      </w:r>
      <w:r/>
    </w:p>
    <w:p>
      <w:pP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r>
      <w:r/>
    </w:p>
    <w:p>
      <w:pPr>
        <w:pStyle w:val="1207"/>
        <w:ind w:left="0" w:right="0" w:firstLine="56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投标文件</w:t>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（项目编号：         ）</w:t>
      </w:r>
      <w:r/>
    </w:p>
    <w:p>
      <w:pPr>
        <w:jc w:val="cente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（名称打印并盖法人公章）</w:t>
      </w:r>
      <w:r/>
    </w:p>
    <w:p>
      <w:pPr>
        <w:jc w:val="center"/>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（签字或盖章）</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  月  日</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207"/>
        <w:ind w:left="0" w:right="0" w:firstLine="482"/>
        <w:spacing w:line="360" w:lineRule="auto"/>
        <w:rPr>
          <w:rStyle w:val="1169"/>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pStyle w:val="1207"/>
        <w:ind w:left="0" w:right="0" w:firstLine="482"/>
        <w:spacing w:line="360" w:lineRule="auto"/>
        <w:rPr>
          <w:rStyle w:val="1169"/>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pStyle w:val="1207"/>
        <w:ind w:left="0" w:right="0" w:firstLine="482"/>
        <w:spacing w:line="360" w:lineRule="auto"/>
        <w:rPr>
          <w:rStyle w:val="1169"/>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特别提醒：</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中标人领取中标通知书时须向代理机构提交纸质胶装投标文件一正四副，电子版投标文件</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份（U盘）。</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目 录</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投标函</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开标一览表</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分项价格表</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偏离表</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法定代表人授权书</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中小企业声明函</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残疾人福利性单位声明函</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投标人参加政府采购活动前3年内在经营活动中没有重大违法记录的书面声明</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具备履行合同所必需的设备和专业技术能力的书面声明（附证明材料扫描件）</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预付款保函支付条款模板</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11、用工、卫生及安全责任承诺书</w:t>
      </w:r>
      <w:r/>
    </w:p>
    <w:p>
      <w:pPr>
        <w:spacing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中标后履行合同前办理《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食品经营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许可证》承诺书</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所有派驻人员持有健康证和无违法犯罪记录承诺书</w:t>
      </w:r>
      <w:r/>
    </w:p>
    <w:p>
      <w:pPr>
        <w:spacing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14、人员数量最低配备要求承诺书</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投标函</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江苏科建工程项目管理有限公司</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（项目名称）[项目编号：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(姓名)代表我方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（投标人的名称）全权处理本次投标的有关事宜。</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据此函，投标人承诺并同意如下： </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投标人唯一投标报价见《开标一览表》。</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投标人将按招标文件的规定履行合同责任和义务。</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投标有效期为开标之日后90天。</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投标人不在投标初始有效期内撤回投标。</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 </w:t>
      </w:r>
      <w:r>
        <w:rPr>
          <w:rFonts w:hint="eastAsia" w:ascii="宋体" w:hAnsi="宋体" w:eastAsia="宋体" w:cs="宋体"/>
          <w:color w:val="000000" w:themeColor="text1"/>
          <w:sz w:val="24"/>
          <w:szCs w:val="21"/>
          <w:highlight w:val="none"/>
          <w14:textFill>
            <w14:solidFill>
              <w14:schemeClr w14:val="tx1"/>
            </w14:solidFill>
          </w14:textFill>
        </w:rPr>
        <w:t xml:space="preserve">投标人同意按照</w:t>
      </w:r>
      <w:r>
        <w:rPr>
          <w:rFonts w:hint="eastAsia" w:ascii="宋体" w:hAnsi="宋体" w:cs="宋体"/>
          <w:color w:val="000000" w:themeColor="text1"/>
          <w:sz w:val="24"/>
          <w:szCs w:val="21"/>
          <w:highlight w:val="none"/>
          <w:lang w:val="en-US"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的有关规定支付招标代理服务费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 采购人或采购代理机构有权将我单位本项目的《开标一览表》和《分项价格表》予以公示，公示的方式由江苏科建工程项目管理有限公司确定。</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 与本投标有关的一切正式往来信函请寄：</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地址： </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电话： </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传真： </w:t>
      </w:r>
      <w:r/>
    </w:p>
    <w:p>
      <w:pPr>
        <w:ind w:firstLine="31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投标人：（盖电子签章）</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firstLine="31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ind w:firstLine="31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2、开标一览表</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 </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项目编号：</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单位：元</w:t>
      </w:r>
      <w:r/>
    </w:p>
    <w:tbl>
      <w:tblPr>
        <w:tblStyle w:val="1007"/>
        <w:tblW w:w="834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57"/>
        <w:gridCol w:w="2084"/>
        <w:gridCol w:w="2003"/>
        <w:gridCol w:w="1700"/>
      </w:tblGrid>
      <w:tr>
        <w:trPr>
          <w:cantSplit/>
          <w:jc w:val="center"/>
          <w:trHeight w:val="1163"/>
        </w:trPr>
        <w:tc>
          <w:tcPr>
            <w:tcW w:w="2557" w:type="dxa"/>
            <w:vAlign w:val="center"/>
            <w:textDirection w:val="lrTb"/>
            <w:noWrap w:val="false"/>
          </w:tcPr>
          <w:p>
            <w:pPr>
              <w:pStyle w:val="1075"/>
              <w:jc w:val="center"/>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77"/>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w:t>
            </w:r>
            <w:r/>
          </w:p>
        </w:tc>
        <w:tc>
          <w:tcPr>
            <w:tcW w:w="2084" w:type="dxa"/>
            <w:vAlign w:val="center"/>
            <w:textDirection w:val="lrTb"/>
            <w:noWrap w:val="false"/>
          </w:tcPr>
          <w:p>
            <w:pPr>
              <w:pStyle w:val="1075"/>
              <w:jc w:val="center"/>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77"/>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项目内容</w:t>
            </w:r>
            <w:r/>
          </w:p>
        </w:tc>
        <w:tc>
          <w:tcPr>
            <w:tcW w:w="2003" w:type="dxa"/>
            <w:vAlign w:val="center"/>
            <w:textDirection w:val="lrTb"/>
            <w:noWrap w:val="false"/>
          </w:tcPr>
          <w:p>
            <w:pPr>
              <w:pStyle w:val="1075"/>
              <w:jc w:val="center"/>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77"/>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总价（小写）</w:t>
            </w:r>
            <w:r/>
          </w:p>
        </w:tc>
        <w:tc>
          <w:tcPr>
            <w:tcW w:w="1700" w:type="dxa"/>
            <w:vAlign w:val="center"/>
            <w:textDirection w:val="lrTb"/>
            <w:noWrap w:val="false"/>
          </w:tcPr>
          <w:p>
            <w:pPr>
              <w:pStyle w:val="1075"/>
              <w:jc w:val="center"/>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备注</w:t>
            </w:r>
            <w:r/>
          </w:p>
        </w:tc>
      </w:tr>
      <w:tr>
        <w:trPr>
          <w:cantSplit/>
          <w:jc w:val="center"/>
          <w:trHeight w:val="1214"/>
        </w:trPr>
        <w:tc>
          <w:tcPr>
            <w:tcW w:w="255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徐州市公安局刑侦支队新警犬基地食堂服务</w:t>
            </w:r>
            <w:r/>
          </w:p>
        </w:tc>
        <w:tc>
          <w:tcPr>
            <w:tcW w:w="2084"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77"/>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详见投标文件</w:t>
            </w:r>
            <w:r/>
          </w:p>
        </w:tc>
        <w:tc>
          <w:tcPr>
            <w:tcW w:w="2003"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70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jc w:val="center"/>
          <w:trHeight w:val="1214"/>
        </w:trPr>
        <w:tc>
          <w:tcPr>
            <w:tcW w:w="255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总价（大写）：</w:t>
            </w:r>
            <w:r/>
          </w:p>
        </w:tc>
        <w:tc>
          <w:tcPr>
            <w:gridSpan w:val="3"/>
            <w:tcW w:w="578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bl>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投标人承诺：</w:t>
      </w:r>
      <w:r>
        <w:rPr>
          <w:rFonts w:ascii="宋体" w:hAnsi="宋体"/>
          <w:b/>
          <w:bCs/>
          <w:color w:val="000000" w:themeColor="text1"/>
          <w:sz w:val="24"/>
          <w:highlight w:val="none"/>
          <w14:textFill>
            <w14:solidFill>
              <w14:schemeClr w14:val="tx1"/>
            </w14:solidFill>
          </w14:textFill>
        </w:rPr>
        <w:t xml:space="preserve">本报价（总价）为</w:t>
      </w:r>
      <w:r>
        <w:rPr>
          <w:rFonts w:hint="eastAsia" w:ascii="宋体" w:hAnsi="宋体"/>
          <w:b/>
          <w:bCs/>
          <w:color w:val="000000" w:themeColor="text1"/>
          <w:sz w:val="24"/>
          <w:highlight w:val="none"/>
          <w:lang w:val="en-US" w:eastAsia="zh-CN"/>
          <w14:textFill>
            <w14:solidFill>
              <w14:schemeClr w14:val="tx1"/>
            </w14:solidFill>
          </w14:textFill>
        </w:rPr>
        <w:t xml:space="preserve">投标人</w:t>
      </w:r>
      <w:r>
        <w:rPr>
          <w:rFonts w:ascii="宋体" w:hAnsi="宋体"/>
          <w:b/>
          <w:bCs/>
          <w:color w:val="000000" w:themeColor="text1"/>
          <w:sz w:val="24"/>
          <w:highlight w:val="none"/>
          <w14:textFill>
            <w14:solidFill>
              <w14:schemeClr w14:val="tx1"/>
            </w14:solidFill>
          </w14:textFill>
        </w:rPr>
        <w:t xml:space="preserve">本企业提供的服务</w:t>
      </w:r>
      <w:r>
        <w:rPr>
          <w:rFonts w:hint="eastAsia" w:ascii="宋体" w:hAnsi="宋体"/>
          <w:b/>
          <w:bCs/>
          <w:color w:val="000000" w:themeColor="text1"/>
          <w:sz w:val="24"/>
          <w:highlight w:val="none"/>
          <w14:textFill>
            <w14:solidFill>
              <w14:schemeClr w14:val="tx1"/>
            </w14:solidFill>
          </w14:textFill>
        </w:rPr>
        <w:t xml:space="preserve">。</w:t>
      </w:r>
      <w:r/>
    </w:p>
    <w:p>
      <w:pPr>
        <w:pStyle w:val="1224"/>
        <w:ind w:left="0" w:right="0" w:firstLine="0"/>
        <w:spacing w:line="360" w:lineRule="auto"/>
        <w:rPr>
          <w:rStyle w:val="1169"/>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  </w:t>
      </w:r>
      <w:r/>
    </w:p>
    <w:p>
      <w:pPr>
        <w:pStyle w:val="1224"/>
        <w:ind w:left="0" w:right="0" w:firstLine="0"/>
        <w:spacing w:line="360" w:lineRule="auto"/>
        <w:rPr>
          <w:rStyle w:val="1169"/>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pStyle w:val="1224"/>
        <w:ind w:left="0" w:right="0" w:firstLine="0"/>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8"/>
          <w:szCs w:val="28"/>
          <w:highlight w:val="none"/>
          <w14:textFill>
            <w14:solidFill>
              <w14:schemeClr w14:val="tx1"/>
            </w14:solidFill>
          </w14:textFill>
        </w:rPr>
        <w:t xml:space="preserve">详见苏采云系统中的格式。</w:t>
      </w:r>
      <w:r/>
    </w:p>
    <w:p>
      <w:pPr>
        <w:pStyle w:val="1075"/>
        <w:jc w:val="left"/>
        <w:spacing w:line="360" w:lineRule="auto"/>
        <w:widowControl w:val="off"/>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pStyle w:val="1075"/>
        <w:jc w:val="left"/>
        <w:spacing w:line="360" w:lineRule="auto"/>
        <w:widowControl w:val="off"/>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pStyle w:val="1075"/>
        <w:jc w:val="left"/>
        <w:spacing w:line="360" w:lineRule="auto"/>
        <w:widowControl w:val="off"/>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pStyle w:val="1075"/>
        <w:jc w:val="left"/>
        <w:spacing w:line="360" w:lineRule="auto"/>
        <w:widowControl w:val="off"/>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报价说明：</w:t>
      </w:r>
      <w:r/>
    </w:p>
    <w:p>
      <w:pPr>
        <w:pStyle w:val="1075"/>
        <w:ind w:firstLine="482"/>
        <w:jc w:val="left"/>
        <w:spacing w:line="360" w:lineRule="auto"/>
        <w:widowControl w:val="off"/>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1、报价包括完成项目的所有费用。采购人不再支付报价以外的任何费用；</w:t>
      </w:r>
      <w:r/>
    </w:p>
    <w:p>
      <w:pPr>
        <w:pStyle w:val="1075"/>
        <w:ind w:firstLine="482"/>
        <w:jc w:val="left"/>
        <w:spacing w:line="360" w:lineRule="auto"/>
        <w:widowControl w:val="off"/>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2、报价以总价为准，大小写不一致以大写为准；</w:t>
      </w:r>
      <w:r/>
    </w:p>
    <w:p>
      <w:pPr>
        <w:pStyle w:val="1075"/>
        <w:ind w:firstLine="482"/>
        <w:jc w:val="left"/>
        <w:spacing w:line="360" w:lineRule="auto"/>
        <w:widowControl w:val="off"/>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Style w:val="1177"/>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3、偏离说明：详见《偏离表》；</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标人：（盖电子签章）</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日期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年  月   日</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headerReference w:type="default" r:id="rId13"/>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numPr>
          <w:ilvl w:val="0"/>
          <w:numId w:val="0"/>
        </w:num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分项价格表</w:t>
      </w:r>
      <w:r/>
    </w:p>
    <w:p>
      <w:pPr>
        <w:ind w:firstLine="480"/>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 </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项目编号：</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格式自拟                                                   </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spacing w:line="312"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12"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说明：</w:t>
      </w:r>
      <w:r/>
    </w:p>
    <w:p>
      <w:pPr>
        <w:ind w:firstLine="420"/>
        <w:spacing w:line="312"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①如果不提供分项报价的，将视为没有实质性响应招标文件。</w:t>
      </w:r>
      <w:r/>
    </w:p>
    <w:p>
      <w:pPr>
        <w:ind w:firstLine="420"/>
        <w:spacing w:line="312"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②投标人对以上数据的真实性负责。</w:t>
      </w:r>
      <w:r/>
    </w:p>
    <w:p>
      <w:pPr>
        <w:ind w:firstLine="420"/>
        <w:spacing w:line="312"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③采购人或采购代理机构有权将以上内容进行公示。</w:t>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标人：（盖电子签章）</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日期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年  月   日</w:t>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4、偏离表</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项目编号：</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w:t>
      </w:r>
      <w:r/>
    </w:p>
    <w:tbl>
      <w:tblPr>
        <w:tblStyle w:val="100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ap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bl>
    <w:p>
      <w:pPr>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注：</w:t>
      </w:r>
      <w:r/>
    </w:p>
    <w:p>
      <w:pPr>
        <w:ind w:firstLine="480"/>
        <w:jc w:val="left"/>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投标人的投标文件中的内容与招标文件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（含招标文件的澄清或者修改的内容）的要求不同时，逐条列在偏离表中，否则将认为投标人接受招标文件的要求。</w:t>
      </w:r>
      <w:r/>
    </w:p>
    <w:p>
      <w:pPr>
        <w:pStyle w:val="1229"/>
        <w:ind w:firstLine="0"/>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投标人：（盖电子签章）</w:t>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r/>
    </w:p>
    <w:p>
      <w:pPr>
        <w:jc w:val="cente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5、法定代表人授权书</w:t>
      </w:r>
      <w:r/>
    </w:p>
    <w:p>
      <w:pPr>
        <w:jc w:val="cente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委托人：</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地  址：</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法定代表人：               职务：</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统一社会信用代码：</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受托人：                   性别：男（女）  </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年龄：  岁                 民族：   族</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职务：</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身份证号：</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80"/>
        <w:jc w:val="left"/>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兹委托（      ）全权代表我企业（公司）参与[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项目[项目编号：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特此授权委托。</w:t>
      </w:r>
      <w:r/>
    </w:p>
    <w:p>
      <w:pPr>
        <w:ind w:firstLine="470"/>
        <w:keepLines w:val="0"/>
        <w:keepNext w:val="0"/>
        <w:pageBreakBefore w:val="0"/>
        <w:spacing w:line="480" w:lineRule="auto"/>
        <w:widowControl w:val="off"/>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r>
      <w:r/>
    </w:p>
    <w:p>
      <w:pPr>
        <w:ind w:firstLine="470"/>
        <w:keepLines w:val="0"/>
        <w:keepNext w:val="0"/>
        <w:pageBreakBefore w:val="0"/>
        <w:spacing w:line="480" w:lineRule="auto"/>
        <w:widowControl w:val="off"/>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委托人（盖电子签章）：               </w:t>
      </w:r>
      <w:r/>
    </w:p>
    <w:p>
      <w:pPr>
        <w:ind w:firstLine="470"/>
        <w:keepLines w:val="0"/>
        <w:keepNext w:val="0"/>
        <w:pageBreakBefore w:val="0"/>
        <w:spacing w:line="480" w:lineRule="auto"/>
        <w:widowControl w:val="off"/>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法定代表人（签字或电子签章）： </w:t>
      </w:r>
      <w:r/>
    </w:p>
    <w:p>
      <w:pPr>
        <w:pStyle w:val="1019"/>
        <w:ind w:firstLine="482"/>
        <w:keepLines w:val="0"/>
        <w:keepNext w:val="0"/>
        <w:pageBreakBefore w:val="0"/>
        <w:spacing w:line="480" w:lineRule="auto"/>
        <w:widowControl w:val="off"/>
        <w:rPr>
          <w:rFonts w:hint="eastAsia"/>
          <w:b/>
          <w:bCs w:val="0"/>
          <w:color w:val="000000" w:themeColor="text1"/>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受托人（签字或电子签章）：</w:t>
      </w:r>
      <w:r/>
    </w:p>
    <w:p>
      <w:pPr>
        <w:ind w:firstLine="470"/>
        <w:keepLines w:val="0"/>
        <w:keepNext w:val="0"/>
        <w:pageBreakBefore w:val="0"/>
        <w:spacing w:line="480" w:lineRule="auto"/>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  年   月   日</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 </w:t>
      </w:r>
      <w:r/>
    </w:p>
    <w:p>
      <w:pPr>
        <w:ind w:firstLine="950"/>
        <w:spacing w:line="360" w:lineRule="auto"/>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r>
      <w:r/>
    </w:p>
    <w:p>
      <w:pPr>
        <w:ind w:left="0" w:firstLine="0"/>
        <w:jc w:val="cente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(受托人身份证复印件附后)</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6、中小企业声明函</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项目编号：</w:t>
      </w:r>
      <w:r/>
    </w:p>
    <w:p>
      <w:pPr>
        <w:ind w:firstLine="480"/>
        <w:jc w:val="left"/>
        <w:spacing w:line="360" w:lineRule="auto"/>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本公司郑重声明，根据《政府采购促进中小企业发展暂行办法》（财库﹝2020﹞46 号）的规定，本公司参加</w:t>
      </w:r>
      <w:r>
        <w:rPr>
          <w:rStyle w:val="1169"/>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（单位名称）</w:t>
      </w: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w:t>
      </w:r>
      <w:r>
        <w:rPr>
          <w:rStyle w:val="1169"/>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（项目名称）</w:t>
      </w: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采购活动，服务全部由符合政策要求的中小企业承接。相关企业的具体情况如下：</w:t>
      </w: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textWrapping" w:clear="all"/>
      </w: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，属于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rPr>
          <w:rStyle w:val="1169"/>
          <w:rFonts w:hint="eastAsia" w:asciiTheme="minorEastAsia" w:hAnsiTheme="minorEastAsia" w:eastAsiaTheme="minorEastAsia" w:cstheme="minorEastAsia"/>
          <w:color w:val="000000" w:themeColor="text1"/>
          <w:sz w:val="24"/>
          <w:szCs w:val="24"/>
          <w:highlight w:val="none"/>
          <w:u w:val="single"/>
          <w:lang w:val="en-US"/>
          <w14:textFill>
            <w14:solidFill>
              <w14:schemeClr w14:val="tx1"/>
            </w14:solidFill>
          </w14:textFill>
        </w:rPr>
        <w:t xml:space="preserve">餐饮业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承建（承接）企业为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人，营业收入为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万元，属于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企业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（中型企业、小型企业、微型企业</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请填空！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2"/>
        <w:spacing w:line="360" w:lineRule="auto"/>
        <w:rPr>
          <w:rStyle w:val="1169"/>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p>
    <w:p>
      <w:pPr>
        <w:ind w:firstLine="482"/>
        <w:spacing w:line="360" w:lineRule="auto"/>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spacing w:line="360" w:lineRule="auto"/>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ind w:firstLine="480"/>
        <w:jc w:val="left"/>
        <w:spacing w:line="360" w:lineRule="auto"/>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注：本采购项目属于</w:t>
      </w:r>
      <w:r>
        <w:rPr>
          <w:rStyle w:val="1169"/>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rPr>
          <w:rStyle w:val="1169"/>
          <w:rFonts w:hint="eastAsia" w:asciiTheme="minorEastAsia" w:hAnsiTheme="minorEastAsia" w:eastAsiaTheme="minorEastAsia" w:cstheme="minorEastAsia"/>
          <w:color w:val="000000" w:themeColor="text1"/>
          <w:sz w:val="24"/>
          <w:szCs w:val="24"/>
          <w:highlight w:val="none"/>
          <w:u w:val="single"/>
          <w:lang w:val="en-US"/>
          <w14:textFill>
            <w14:solidFill>
              <w14:schemeClr w14:val="tx1"/>
            </w14:solidFill>
          </w14:textFill>
        </w:rPr>
        <w:t xml:space="preserve">餐饮业</w:t>
      </w:r>
      <w:r>
        <w:rPr>
          <w:rStyle w:val="1169"/>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jc w:val="left"/>
        <w:spacing w:line="360" w:lineRule="auto"/>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备注：从业人员、营业收入、资产总额填报上一年度数据，无上一年度数据的新成立企业可不填报。</w:t>
      </w:r>
      <w:r/>
    </w:p>
    <w:p>
      <w:pPr>
        <w:jc w:val="left"/>
        <w:spacing w:line="360" w:lineRule="auto"/>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20"/>
        <w:jc w:val="left"/>
        <w:spacing w:line="360" w:lineRule="auto"/>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投标人：（盖电子签章）</w:t>
      </w:r>
      <w:r/>
    </w:p>
    <w:p>
      <w:pPr>
        <w:ind w:firstLine="420"/>
        <w:jc w:val="left"/>
        <w:spacing w:line="360" w:lineRule="auto"/>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ind w:firstLine="480"/>
        <w:jc w:val="left"/>
        <w:spacing w:line="360" w:lineRule="auto"/>
        <w:rPr>
          <w:rStyle w:val="1169"/>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360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213"/>
        <w:ind w:left="0"/>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213"/>
        <w:ind w:left="0" w:firstLine="482"/>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2、从业人员、营业收入、资产总额填报响应供应商上一年度数据，无上一年度数据的新成立企业可不填报。</w:t>
      </w:r>
      <w:r/>
    </w:p>
    <w:p>
      <w:pPr>
        <w:pStyle w:val="1213"/>
        <w:ind w:left="0" w:firstLine="482"/>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3、成交供应商为中型、小型、微型企业的，采购人或者其委托的采购代理机构有权随中标、成交结果同时公告其《中小企业声明函》，接受社会监督。</w:t>
      </w:r>
      <w:r/>
    </w:p>
    <w:p>
      <w:pPr>
        <w:pStyle w:val="1213"/>
        <w:ind w:left="0" w:firstLine="482"/>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4、执行江苏省财政厅关于进一步加大政府采购支持中小企业力度的通知（苏财购〔2022〕45号）的规定。</w:t>
      </w:r>
      <w:r/>
    </w:p>
    <w:p>
      <w:pPr>
        <w:pStyle w:val="1213"/>
        <w:ind w:left="0" w:firstLine="482"/>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5、响应供应商提供的《中小企业声明函》与事实不符的，依照《中华人民共和国政府采购法》第七十七条第一款的规定追究法律责任。</w:t>
      </w:r>
      <w:r/>
    </w:p>
    <w:p>
      <w:pPr>
        <w:pStyle w:val="1223"/>
        <w:ind w:firstLine="480"/>
        <w:spacing w:beforeAutospacing="0" w:afterAutospacing="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6、《中小企业声明函》查询渠道用微信搜索“中小企业规模类型自测小程序”。</w:t>
      </w:r>
      <w:r/>
    </w:p>
    <w:p>
      <w:pPr>
        <w:pStyle w:val="1223"/>
        <w:spacing w:beforeAutospacing="0" w:afterAutospacing="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223"/>
        <w:jc w:val="center"/>
        <w:spacing w:beforeAutospacing="0" w:afterAutospacing="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headerReference w:type="default" r:id="rId14"/>
          <w:footerReference w:type="even" r:id="rId21"/>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231390" cy="4554220"/>
                <wp:effectExtent l="0" t="0" r="16510" b="17780"/>
                <wp:docPr id="12" name="图片 9"/>
                <wp:cNvGraphicFramePr/>
                <a:graphic xmlns:a="http://schemas.openxmlformats.org/drawingml/2006/main">
                  <a:graphicData uri="http://schemas.openxmlformats.org/drawingml/2006/picture">
                    <pic:pic xmlns:pic="http://schemas.openxmlformats.org/drawingml/2006/picture">
                      <pic:nvPicPr>
                        <pic:cNvPr id="12" name="图片 9"/>
                        <pic:cNvPicPr/>
                        <pic:nvPr/>
                      </pic:nvPicPr>
                      <pic:blipFill>
                        <a:blip r:embed="rId24"/>
                        <a:srcRect l="0" t="4825" r="0" b="0"/>
                        <a:stretch/>
                      </pic:blipFill>
                      <pic:spPr bwMode="auto">
                        <a:xfrm>
                          <a:off x="0" y="0"/>
                          <a:ext cx="2231390" cy="45542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75.7pt;height:358.6pt;mso-wrap-distance-left:0.0pt;mso-wrap-distance-top:0.0pt;mso-wrap-distance-right:0.0pt;mso-wrap-distance-bottom:0.0pt;" stroked="f">
                <v:path textboxrect="0,0,0,0"/>
                <v:imagedata r:id="rId24" o:title=""/>
              </v:shape>
            </w:pict>
          </mc:Fallback>
        </mc:AlternateConten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7、残疾人福利性单位声明函</w:t>
      </w:r>
      <w:r/>
    </w:p>
    <w:p>
      <w:pPr>
        <w:spacing w:line="360" w:lineRule="auto"/>
        <w:rPr>
          <w:rFonts w:hint="eastAsia" w:asciiTheme="minorEastAsia" w:hAnsiTheme="minorEastAsia" w:eastAsiaTheme="minorEastAsia" w:cstheme="minorEastAsia"/>
          <w:b/>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pacing w:val="6"/>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项目编号：</w:t>
      </w:r>
      <w:r/>
    </w:p>
    <w:p>
      <w:pPr>
        <w:ind w:firstLine="504"/>
        <w:spacing w:line="360" w:lineRule="auto"/>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本单位郑重声明，根据《财政部 民政部中国残疾人联合会关于促进残疾人就业政府采购政策的通知》（财库</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〔2017〕 141</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______</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单位的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______</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p>
      <w:pPr>
        <w:ind w:firstLine="504"/>
        <w:spacing w:line="360" w:lineRule="auto"/>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投标人：（盖电子签章）</w:t>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righ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br w:type="page" w:clear="all"/>
      </w:r>
      <w:r/>
    </w:p>
    <w:p>
      <w:pPr>
        <w:ind w:firstLine="480"/>
        <w:jc w:val="cente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8、投标人参加政府采购活动前3年内在经营活动中没有重大违法记录的</w:t>
      </w:r>
      <w:r/>
    </w:p>
    <w:p>
      <w:pPr>
        <w:jc w:val="cente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书面声明</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jc w:val="left"/>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我单位在参加</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我单位对上述声明的真实性负责。如有虚假，将依法承担相应责任。</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投标人：（盖电子签章）</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pStyle w:val="1223"/>
        <w:jc w:val="center"/>
        <w:spacing w:beforeAutospacing="0" w:afterAutospacing="0"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9、具备履行合同所必需的设备和专业技术能力的书面声明（附证明材料扫描件）</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项目名称：</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项目编号</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投标人郑重声明：投标人具备履行合同（项目名称：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所必需的设备和专业技术能力，具体为：</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设备：</w:t>
      </w:r>
      <w:r/>
    </w:p>
    <w:p>
      <w:pPr>
        <w:numPr>
          <w:ilvl w:val="0"/>
          <w:numId w:val="0"/>
        </w:num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（证明材料扫描件附后）</w:t>
      </w:r>
      <w:r/>
    </w:p>
    <w:p>
      <w:pPr>
        <w:numPr>
          <w:ilvl w:val="0"/>
          <w:numId w:val="0"/>
        </w:num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（证明材料扫描件附后）</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（证明材料扫描件附后）</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专业技术能力：</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（证明材料扫描件附后）</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（证明材料扫描件附后）</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（证明材料扫描件附后）</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特此声明。</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投标人对上述声明的真实性负责。如有虚假，将依法承担相应责任。</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投标人：（盖电子签章）</w:t>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ind w:firstLine="470"/>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、预付款保函支付条款模板 </w:t>
      </w:r>
      <w:r/>
    </w:p>
    <w:p>
      <w:pPr>
        <w:ind w:firstLine="480"/>
        <w:jc w:val="left"/>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符合条件一：提交预付款保函的</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（1）合同签订且乙方向甲方出具预付款保函后个工作日内，甲方应支付合同价款的百分之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（%），小写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￥大写：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人民币。</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（2）验收合格后个工作日内，甲方应支付合同价款的百分之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（%），小写￥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大写：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人民币 。 </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符合条件二：不提交预付款保函的</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（1）合同签订后个工作日内，甲方应支付合同价款的百分之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（%），小写￥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大写：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人民币。</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（2）验收合格后个工作日内，甲方应支付合同价款的百分之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（%），小写￥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大写：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人民币。</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1、付款条件一中，出具预付款保函后支付的合同款应当与保函金额一致。</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101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、用工、卫生及安全责任承诺书</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项目编号：</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如我单位被确定为成交供应商，我单位承诺：</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用工承诺：用工符合《劳动合同法》要求，依法用工。如发生用工纠纷，由我单位自行负责，采购人不承担连带责任，用工调整报采购人备案。食堂内的工作人员属于我单位的职工，与采购人不存在任何雇佣、委托等劳动关系，同时食堂工作人员在工作过程中的安全责任由我单位人负责。如用工、用电、用水等引起的事故或发生意外伤亡，我单位承担全部责任和经济补偿，采购人不承担任何责任。</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2、卫生承诺：</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（1）食品卫生</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①生、熟、半成品分开存放，生、熟食品工具、容器分开使用，水池、水箱标识齐全；</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②冷荤部必须做到“五专”（专人、专室、专工具、专冷藏、专消毒）；</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③净料、成品、半成品的存放要离地上架；</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④食品防尘、防蝇、无变质。</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（2）环境卫生</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①饭厅、饭道的门窗及桌椅、地面、墙面整齐清洁，洗碗无残渣油垢，用餐后及时清扫餐桌和地面；</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②库房物品码放整齐，货架分类，隔地离墙，通风换气，有防灭鼠措施，冰箱生熟及半成品分开，无变质食品；</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③食堂沟、池畅通，地面整洁无垃圾，消灭蚊、蝇孳生地；</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④食堂内外划分责任区并责任到人，做到活完脚下清。每周大扫除，坚持月末卫生日活动；</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⑤食堂内无烟尘、烟头、痰迹、油垢、杂物，无老鼠、蟑螂等虫害。</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（3）个人卫生</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①持证上岗（健康证）；</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②个人卫生做到不染指甲、不戴首饰、不外露纹身，出售熟食时必须戴口罩和一次性手套；</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③穿戴好工作服、工作帽，不随地吐痰、不吸烟、不穿拖鞋，操作前后及大小便后必须洗净双手；</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④进入工作区域必须穿着工作服、离开工作区域不得穿着工作服，不准穿工作服上卫生间。更衣柜内只能存放个人衣物和洗澡用品。</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（4）设备、炊具、餐具卫生</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①炊事机械设备使用中生熟分开，使用后必须刷洗干净保持清洁，做到无锈、无油渍、无腐物，定位整齐，防止污染；</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②炊用具使用前必须清洗，使用中生熟分开，使用后洗净保持清洁，定位、盖布存放，每周进行消毒，消毒次数随季节增减；</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③餐具要到达光、洁、涩、干，每餐消毒并达到检验标准，密闭储存；</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④成品，半成品和净料容器（盆、盘、筐）定位存放，每周消毒，消毒次数随季节增减。</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整个食堂的卫生防疫、就餐环境卫生等级必须达到卫生监督部门要求的卫生标准，采购人有权监督，并定时检查。</w:t>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安全责任承诺：我单位注重食品卫生安全。我单位负责用工、用水、用电、用气安全和消防安全，明确责任人，服从采购人职能部门的统一管理，确保安全无事故。如发生食品安全、水电、消防安全等方面的安全事故，由我单位承担全部责任，采购人概不负责。落实门禁、监控等安全措施。</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（盖电子签章）：</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588" w:lineRule="exact"/>
        <w:rPr>
          <w:rFonts w:ascii="宋体" w:hAnsi="宋体" w:cs="宋体"/>
          <w:b w:val="0"/>
          <w:bCs/>
          <w:color w:val="000000" w:themeColor="text1"/>
          <w:sz w:val="28"/>
          <w:szCs w:val="28"/>
          <w:highlight w:val="none"/>
          <w14:textFill>
            <w14:solidFill>
              <w14:schemeClr w14:val="tx1"/>
            </w14:solidFill>
          </w14:textFill>
        </w:rPr>
        <w:outlineLvl w:val="1"/>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b w:val="0"/>
          <w:bCs/>
          <w:color w:val="000000" w:themeColor="text1"/>
          <w:sz w:val="24"/>
          <w:szCs w:val="24"/>
          <w:highlight w:val="none"/>
          <w14:textFill>
            <w14:solidFill>
              <w14:schemeClr w14:val="tx1"/>
            </w14:solidFill>
          </w14:textFill>
        </w:rPr>
        <w:t xml:space="preserve">、中标后履行合同前办理《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食品经营</w:t>
      </w:r>
      <w:r>
        <w:rPr>
          <w:rFonts w:hint="eastAsia" w:ascii="宋体" w:hAnsi="宋体" w:cs="宋体"/>
          <w:b w:val="0"/>
          <w:bCs/>
          <w:color w:val="000000" w:themeColor="text1"/>
          <w:sz w:val="24"/>
          <w:szCs w:val="24"/>
          <w:highlight w:val="none"/>
          <w14:textFill>
            <w14:solidFill>
              <w14:schemeClr w14:val="tx1"/>
            </w14:solidFill>
          </w14:textFill>
        </w:rPr>
        <w:t xml:space="preserve">许可证》承诺书</w:t>
      </w:r>
      <w:r/>
    </w:p>
    <w:p>
      <w:pPr>
        <w:spacing w:line="519" w:lineRule="atLeast"/>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spacing w:line="519" w:lineRule="atLeast"/>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项目编号：</w:t>
      </w:r>
      <w:r/>
    </w:p>
    <w:p>
      <w:pPr>
        <w:ind w:firstLine="560"/>
        <w:spacing w:line="519" w:lineRule="atLeast"/>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如我单位被确定为成交供应商，我单位承诺：</w:t>
      </w:r>
      <w:r/>
    </w:p>
    <w:p>
      <w:pPr>
        <w:spacing w:line="479" w:lineRule="atLeast"/>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r>
      <w:r/>
    </w:p>
    <w:p>
      <w:pPr>
        <w:pStyle w:val="116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格式自拟</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（盖电子签章）</w:t>
      </w:r>
      <w:r>
        <w:rPr>
          <w:rFonts w:hint="eastAsia" w:ascii="宋体" w:hAnsi="宋体" w:cs="宋体"/>
          <w:color w:val="000000" w:themeColor="text1"/>
          <w:sz w:val="24"/>
          <w:szCs w:val="24"/>
          <w:highlight w:val="none"/>
          <w14:textFill>
            <w14:solidFill>
              <w14:schemeClr w14:val="tx1"/>
            </w14:solidFill>
          </w14:textFill>
        </w:rPr>
        <w:t xml:space="preserve">：</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588" w:lineRule="exact"/>
        <w:rPr>
          <w:rFonts w:hint="eastAsia" w:ascii="宋体" w:hAnsi="宋体" w:cs="宋体"/>
          <w:b w:val="0"/>
          <w:bCs/>
          <w:color w:val="000000" w:themeColor="text1"/>
          <w:sz w:val="24"/>
          <w:szCs w:val="24"/>
          <w:highlight w:val="none"/>
          <w:lang w:val="en-US" w:eastAsia="zh-CN"/>
          <w14:textFill>
            <w14:solidFill>
              <w14:schemeClr w14:val="tx1"/>
            </w14:solidFill>
          </w14:textFill>
        </w:rPr>
        <w:outlineLvl w:val="1"/>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13、所有派驻人员持有健康证和无违法犯罪记录承诺书</w:t>
      </w:r>
      <w:r/>
    </w:p>
    <w:p>
      <w:pPr>
        <w:spacing w:line="519"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w:t>
      </w:r>
      <w:r/>
    </w:p>
    <w:p>
      <w:pPr>
        <w:spacing w:line="519"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项目编号：</w:t>
      </w:r>
      <w:r/>
    </w:p>
    <w:p>
      <w:pPr>
        <w:ind w:firstLine="560"/>
        <w:spacing w:line="519"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如我单位被确定为成交供应商，我单位承诺：</w:t>
      </w:r>
      <w:r/>
    </w:p>
    <w:p>
      <w:pPr>
        <w:spacing w:line="479"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166"/>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格式自拟</w:t>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（盖电子签章）：</w:t>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588" w:lineRule="exact"/>
        <w:rPr>
          <w:rFonts w:hint="eastAsia" w:ascii="宋体" w:hAnsi="宋体" w:cs="宋体"/>
          <w:b w:val="0"/>
          <w:bCs/>
          <w:color w:val="000000" w:themeColor="text1"/>
          <w:sz w:val="24"/>
          <w:szCs w:val="24"/>
          <w:highlight w:val="none"/>
          <w:lang w:val="en-US" w:eastAsia="zh-CN"/>
          <w14:textFill>
            <w14:solidFill>
              <w14:schemeClr w14:val="tx1"/>
            </w14:solidFill>
          </w14:textFill>
        </w:rPr>
        <w:outlineLvl w:val="1"/>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14、人员数量最低配备要求承诺书</w:t>
      </w:r>
      <w:r/>
    </w:p>
    <w:p>
      <w:pPr>
        <w:pStyle w:val="1019"/>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19" w:lineRule="atLeast"/>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spacing w:line="519" w:lineRule="atLeast"/>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项目编号：</w:t>
      </w:r>
      <w:r/>
    </w:p>
    <w:p>
      <w:pPr>
        <w:ind w:firstLine="560"/>
        <w:spacing w:line="519" w:lineRule="atLeast"/>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如我单位被确定为成交供应商，我单位承诺：</w:t>
      </w:r>
      <w:r/>
    </w:p>
    <w:p>
      <w:pPr>
        <w:pStyle w:val="116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格式自拟</w:t>
      </w:r>
      <w:r/>
    </w:p>
    <w:p>
      <w:pPr>
        <w:pStyle w:val="1166"/>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供应商（电子签章）：</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1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------------（以下无正文）------------</w:t>
      </w:r>
      <w:r/>
    </w:p>
    <w:sectPr>
      <w:head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ourier New">
    <w:panose1 w:val="02070309020205020404"/>
  </w:font>
  <w:font w:name="Cambria">
    <w:panose1 w:val="02040503050406030204"/>
  </w:font>
  <w:font w:name="Verdan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right"/>
    </w:pPr>
    <w:r>
      <w:rPr>
        <w:rFonts w:hint="eastAsia"/>
      </w:rPr>
      <w:t xml:space="preserve">江苏科建工程项目管理有限公司编制</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firstLine="5760"/>
      <w:jc w:val="right"/>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p>
                    <w:r/>
                    <w:r/>
                  </w:p>
                </w:txbxContent>
              </v:textbox>
            </v:shape>
          </w:pict>
        </mc:Fallback>
      </mc:AlternateContent>
    </w:r>
    <w:r>
      <w:rPr>
        <w:rFonts w:hint="eastAsia"/>
      </w:rPr>
      <w:t xml:space="preserve">江苏科建工程项目管理有限公司编制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rPr>
        <w:rStyle w:val="1197"/>
      </w:rPr>
      <w:framePr w:wrap="around" w:vAnchor="text" w:hAnchor="margin" w:xAlign="right" w:y="1"/>
    </w:pPr>
    <w:r>
      <w:fldChar w:fldCharType="begin"/>
    </w:r>
    <w:r>
      <w:rPr>
        <w:rStyle w:val="1197"/>
      </w:rPr>
      <w:instrText xml:space="preserve">PAGE  </w:instrText>
    </w:r>
    <w:r>
      <w:fldChar w:fldCharType="separate"/>
    </w:r>
    <w:r>
      <w:rPr>
        <w:rStyle w:val="1197"/>
      </w:rPr>
      <w:t xml:space="preserve">19</w:t>
    </w:r>
    <w:r>
      <w:fldChar w:fldCharType="end"/>
    </w:r>
    <w:r/>
  </w:p>
  <w:p>
    <w:pPr>
      <w:pStyle w:val="122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rFonts w:hint="eastAsia"/>
      </w:rPr>
      <mc:AlternateContent>
        <mc:Choice Requires="wpg">
          <w:drawing>
            <wp:inline xmlns:wp="http://schemas.openxmlformats.org/drawingml/2006/wordprocessingDrawing" distT="0" distB="0" distL="0" distR="0">
              <wp:extent cx="281305"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徐州市公安局刑侦支队新警犬基地食堂服务</w:t>
    </w:r>
    <w:r>
      <w:rPr>
        <w:rFonts w:hint="eastAsia"/>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rFonts w:hint="eastAsia"/>
      </w:rPr>
      <mc:AlternateContent>
        <mc:Choice Requires="wpg">
          <w:drawing>
            <wp:inline xmlns:wp="http://schemas.openxmlformats.org/drawingml/2006/wordprocessingDrawing" distT="0" distB="0" distL="0" distR="0">
              <wp:extent cx="281305" cy="2451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徐州市公安局刑侦支队新警犬基地食堂服务</w:t>
    </w:r>
    <w:r>
      <w:rPr>
        <w:rFonts w:hint="eastAsi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rFonts w:hint="eastAsia"/>
      </w:rPr>
      <mc:AlternateContent>
        <mc:Choice Requires="wpg">
          <w:drawing>
            <wp:inline xmlns:wp="http://schemas.openxmlformats.org/drawingml/2006/wordprocessingDrawing" distT="0" distB="0" distL="0" distR="0">
              <wp:extent cx="281305" cy="245110"/>
              <wp:effectExtent l="0" t="0" r="4445" b="2540"/>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val="en-US" w:eastAsia="zh-CN"/>
      </w:rPr>
      <w:t xml:space="preserve">  </w:t>
    </w:r>
    <w:r>
      <w:rPr>
        <w:rFonts w:hint="eastAsia"/>
      </w:rPr>
      <w:t xml:space="preserve">     </w:t>
    </w:r>
    <w:r>
      <w:rPr>
        <w:rFonts w:hint="eastAsia"/>
        <w:lang w:eastAsia="zh-CN"/>
      </w:rPr>
      <w:t xml:space="preserve">徐州市公安局刑侦支队新警犬基地食堂服务</w:t>
    </w:r>
    <w:r>
      <w:rPr>
        <w:rFonts w:hint="eastAsia"/>
      </w:rPr>
      <w:t xml:space="preserve"> </w:t>
    </w:r>
    <w:r>
      <w:rPr>
        <w:rFonts w:hint="eastAsia"/>
        <w:lang w:val="en-US" w:eastAsia="zh-CN"/>
      </w:rPr>
      <w:t xml:space="preserve">    </w:t>
    </w:r>
    <w:r>
      <w:rPr>
        <w:rFonts w:hint="eastAsi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rFonts w:hint="eastAsia"/>
      </w:rPr>
      <mc:AlternateContent>
        <mc:Choice Requires="wpg">
          <w:drawing>
            <wp:inline xmlns:wp="http://schemas.openxmlformats.org/drawingml/2006/wordprocessingDrawing" distT="0" distB="0" distL="0" distR="0">
              <wp:extent cx="281305" cy="24511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徐州市公安局刑侦支队新警犬基地食堂服务</w:t>
    </w:r>
    <w:r>
      <w:rPr>
        <w:rFonts w:hint="eastAsia"/>
      </w:rPr>
      <w:t xml:space="preserve">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rFonts w:hint="eastAsia"/>
      </w:rPr>
      <mc:AlternateContent>
        <mc:Choice Requires="wpg">
          <w:drawing>
            <wp:inline xmlns:wp="http://schemas.openxmlformats.org/drawingml/2006/wordprocessingDrawing" distT="0" distB="0" distL="0" distR="0">
              <wp:extent cx="281305" cy="24511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徐州市公安局刑侦支队新警犬基地食堂服务</w:t>
    </w:r>
    <w:r>
      <w:rPr>
        <w:rFonts w:hint="eastAsia"/>
      </w:rPr>
      <w:t xml:space="preserve">                     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rFonts w:hint="eastAsia"/>
      </w:rPr>
      <mc:AlternateContent>
        <mc:Choice Requires="wpg">
          <w:drawing>
            <wp:inline xmlns:wp="http://schemas.openxmlformats.org/drawingml/2006/wordprocessingDrawing" distT="0" distB="0" distL="0" distR="0">
              <wp:extent cx="281305" cy="24511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徐州市公安局刑侦支队新警犬基地食堂服务</w:t>
    </w:r>
    <w:r>
      <w:rPr>
        <w:rFonts w:hint="eastAsi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7">
    <w:name w:val="Heading 1"/>
    <w:basedOn w:val="996"/>
    <w:next w:val="996"/>
    <w:link w:val="1077"/>
    <w:uiPriority w:val="9"/>
    <w:qFormat/>
    <w:pPr>
      <w:keepLines/>
      <w:keepNext/>
      <w:spacing w:before="480" w:after="200"/>
      <w:outlineLvl w:val="0"/>
    </w:pPr>
    <w:rPr>
      <w:rFonts w:ascii="Arial" w:hAnsi="Arial" w:eastAsia="Arial" w:cs="Arial"/>
      <w:sz w:val="40"/>
      <w:szCs w:val="40"/>
    </w:rPr>
  </w:style>
  <w:style w:type="paragraph" w:styleId="998">
    <w:name w:val="Heading 2"/>
    <w:basedOn w:val="996"/>
    <w:next w:val="996"/>
    <w:link w:val="1078"/>
    <w:uiPriority w:val="9"/>
    <w:unhideWhenUsed/>
    <w:qFormat/>
    <w:pPr>
      <w:keepLines/>
      <w:keepNext/>
      <w:spacing w:before="360" w:after="200"/>
      <w:outlineLvl w:val="1"/>
    </w:pPr>
    <w:rPr>
      <w:rFonts w:ascii="Arial" w:hAnsi="Arial" w:eastAsia="Arial" w:cs="Arial"/>
      <w:sz w:val="34"/>
    </w:rPr>
  </w:style>
  <w:style w:type="paragraph" w:styleId="999">
    <w:name w:val="Heading 3"/>
    <w:basedOn w:val="996"/>
    <w:next w:val="996"/>
    <w:link w:val="1079"/>
    <w:uiPriority w:val="9"/>
    <w:unhideWhenUsed/>
    <w:qFormat/>
    <w:pPr>
      <w:keepLines/>
      <w:keepNext/>
      <w:spacing w:before="320" w:after="200"/>
      <w:outlineLvl w:val="2"/>
    </w:pPr>
    <w:rPr>
      <w:rFonts w:ascii="Arial" w:hAnsi="Arial" w:eastAsia="Arial" w:cs="Arial"/>
      <w:sz w:val="30"/>
      <w:szCs w:val="30"/>
    </w:rPr>
  </w:style>
  <w:style w:type="paragraph" w:styleId="1000">
    <w:name w:val="Heading 4"/>
    <w:basedOn w:val="996"/>
    <w:next w:val="996"/>
    <w:link w:val="1080"/>
    <w:uiPriority w:val="9"/>
    <w:unhideWhenUsed/>
    <w:qFormat/>
    <w:pPr>
      <w:keepLines/>
      <w:keepNext/>
      <w:spacing w:before="320" w:after="200"/>
      <w:outlineLvl w:val="3"/>
    </w:pPr>
    <w:rPr>
      <w:rFonts w:ascii="Arial" w:hAnsi="Arial" w:eastAsia="Arial" w:cs="Arial"/>
      <w:b/>
      <w:bCs/>
      <w:sz w:val="26"/>
      <w:szCs w:val="26"/>
    </w:rPr>
  </w:style>
  <w:style w:type="paragraph" w:styleId="1001">
    <w:name w:val="Heading 5"/>
    <w:basedOn w:val="996"/>
    <w:next w:val="996"/>
    <w:link w:val="1081"/>
    <w:uiPriority w:val="9"/>
    <w:unhideWhenUsed/>
    <w:qFormat/>
    <w:pPr>
      <w:keepLines/>
      <w:keepNext/>
      <w:spacing w:before="320" w:after="200"/>
      <w:outlineLvl w:val="4"/>
    </w:pPr>
    <w:rPr>
      <w:rFonts w:ascii="Arial" w:hAnsi="Arial" w:eastAsia="Arial" w:cs="Arial"/>
      <w:b/>
      <w:bCs/>
      <w:sz w:val="24"/>
      <w:szCs w:val="24"/>
    </w:rPr>
  </w:style>
  <w:style w:type="paragraph" w:styleId="1002">
    <w:name w:val="Heading 6"/>
    <w:basedOn w:val="996"/>
    <w:next w:val="996"/>
    <w:link w:val="1082"/>
    <w:uiPriority w:val="9"/>
    <w:unhideWhenUsed/>
    <w:qFormat/>
    <w:pPr>
      <w:keepLines/>
      <w:keepNext/>
      <w:spacing w:before="320" w:after="200"/>
      <w:outlineLvl w:val="5"/>
    </w:pPr>
    <w:rPr>
      <w:rFonts w:ascii="Arial" w:hAnsi="Arial" w:eastAsia="Arial" w:cs="Arial"/>
      <w:b/>
      <w:bCs/>
      <w:sz w:val="22"/>
      <w:szCs w:val="22"/>
    </w:rPr>
  </w:style>
  <w:style w:type="paragraph" w:styleId="1003">
    <w:name w:val="Heading 7"/>
    <w:basedOn w:val="996"/>
    <w:next w:val="996"/>
    <w:link w:val="1083"/>
    <w:uiPriority w:val="9"/>
    <w:unhideWhenUsed/>
    <w:qFormat/>
    <w:pPr>
      <w:keepLines/>
      <w:keepNext/>
      <w:spacing w:before="320" w:after="200"/>
      <w:outlineLvl w:val="6"/>
    </w:pPr>
    <w:rPr>
      <w:rFonts w:ascii="Arial" w:hAnsi="Arial" w:eastAsia="Arial" w:cs="Arial"/>
      <w:b/>
      <w:bCs/>
      <w:i/>
      <w:iCs/>
      <w:sz w:val="22"/>
      <w:szCs w:val="22"/>
    </w:rPr>
  </w:style>
  <w:style w:type="paragraph" w:styleId="1004">
    <w:name w:val="Heading 8"/>
    <w:basedOn w:val="996"/>
    <w:next w:val="996"/>
    <w:link w:val="1084"/>
    <w:uiPriority w:val="9"/>
    <w:unhideWhenUsed/>
    <w:qFormat/>
    <w:pPr>
      <w:keepLines/>
      <w:keepNext/>
      <w:spacing w:before="320" w:after="200"/>
      <w:outlineLvl w:val="7"/>
    </w:pPr>
    <w:rPr>
      <w:rFonts w:ascii="Arial" w:hAnsi="Arial" w:eastAsia="Arial" w:cs="Arial"/>
      <w:i/>
      <w:iCs/>
      <w:sz w:val="22"/>
      <w:szCs w:val="22"/>
    </w:rPr>
  </w:style>
  <w:style w:type="paragraph" w:styleId="1005">
    <w:name w:val="Heading 9"/>
    <w:basedOn w:val="996"/>
    <w:next w:val="996"/>
    <w:link w:val="1085"/>
    <w:uiPriority w:val="9"/>
    <w:unhideWhenUsed/>
    <w:qFormat/>
    <w:pPr>
      <w:keepLines/>
      <w:keepNext/>
      <w:spacing w:before="320" w:after="200"/>
      <w:outlineLvl w:val="8"/>
    </w:pPr>
    <w:rPr>
      <w:rFonts w:ascii="Arial" w:hAnsi="Arial" w:eastAsia="Arial" w:cs="Arial"/>
      <w:i/>
      <w:iCs/>
    </w:rPr>
  </w:style>
  <w:style w:type="character" w:styleId="1006" w:default="1">
    <w:name w:val="Default Paragraph Font"/>
    <w:uiPriority w:val="1"/>
    <w:semiHidden/>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toc 7"/>
    <w:basedOn w:val="996"/>
    <w:next w:val="996"/>
    <w:uiPriority w:val="39"/>
    <w:unhideWhenUsed/>
    <w:qFormat/>
    <w:pPr>
      <w:ind w:left="1701"/>
      <w:spacing w:after="57"/>
    </w:pPr>
  </w:style>
  <w:style w:type="paragraph" w:styleId="1009">
    <w:name w:val="Normal Indent"/>
    <w:basedOn w:val="996"/>
    <w:uiPriority w:val="0"/>
    <w:qFormat/>
    <w:pPr>
      <w:ind w:firstLine="420"/>
    </w:pPr>
  </w:style>
  <w:style w:type="paragraph" w:styleId="1010">
    <w:name w:val="Caption"/>
    <w:basedOn w:val="996"/>
    <w:next w:val="9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1">
    <w:name w:val="Body Text"/>
    <w:basedOn w:val="996"/>
    <w:uiPriority w:val="99"/>
    <w:qFormat/>
    <w:pPr>
      <w:spacing w:after="120"/>
    </w:pPr>
    <w:rPr>
      <w:rFonts w:ascii="Calibri" w:hAnsi="Calibri"/>
    </w:rPr>
  </w:style>
  <w:style w:type="paragraph" w:styleId="1012">
    <w:name w:val="Block Text"/>
    <w:basedOn w:val="996"/>
    <w:uiPriority w:val="0"/>
    <w:qFormat/>
    <w:pPr>
      <w:ind w:left="256" w:right="6" w:firstLine="624"/>
    </w:pPr>
    <w:rPr>
      <w:rFonts w:eastAsia="仿宋_GB2312"/>
      <w:sz w:val="28"/>
      <w:szCs w:val="20"/>
    </w:rPr>
  </w:style>
  <w:style w:type="paragraph" w:styleId="1013">
    <w:name w:val="toc 5"/>
    <w:basedOn w:val="996"/>
    <w:next w:val="996"/>
    <w:uiPriority w:val="39"/>
    <w:unhideWhenUsed/>
    <w:qFormat/>
    <w:pPr>
      <w:ind w:left="1134"/>
      <w:spacing w:after="57"/>
    </w:pPr>
  </w:style>
  <w:style w:type="paragraph" w:styleId="1014">
    <w:name w:val="toc 3"/>
    <w:basedOn w:val="996"/>
    <w:next w:val="996"/>
    <w:uiPriority w:val="39"/>
    <w:unhideWhenUsed/>
    <w:qFormat/>
    <w:pPr>
      <w:ind w:left="567"/>
      <w:spacing w:after="57"/>
    </w:pPr>
  </w:style>
  <w:style w:type="paragraph" w:styleId="1015">
    <w:name w:val="toc 8"/>
    <w:basedOn w:val="996"/>
    <w:next w:val="996"/>
    <w:uiPriority w:val="39"/>
    <w:unhideWhenUsed/>
    <w:qFormat/>
    <w:pPr>
      <w:ind w:left="1984"/>
      <w:spacing w:after="57"/>
    </w:pPr>
  </w:style>
  <w:style w:type="paragraph" w:styleId="1016">
    <w:name w:val="endnote text"/>
    <w:basedOn w:val="996"/>
    <w:link w:val="1093"/>
    <w:uiPriority w:val="99"/>
    <w:semiHidden/>
    <w:unhideWhenUsed/>
    <w:qFormat/>
    <w:rPr>
      <w:sz w:val="20"/>
    </w:rPr>
  </w:style>
  <w:style w:type="paragraph" w:styleId="1017">
    <w:name w:val="Footer"/>
    <w:basedOn w:val="996"/>
    <w:link w:val="1091"/>
    <w:uiPriority w:val="99"/>
    <w:unhideWhenUsed/>
    <w:qFormat/>
    <w:pPr>
      <w:tabs>
        <w:tab w:val="center" w:pos="7143" w:leader="none"/>
        <w:tab w:val="right" w:pos="14287" w:leader="none"/>
      </w:tabs>
    </w:pPr>
  </w:style>
  <w:style w:type="paragraph" w:styleId="1018">
    <w:name w:val="Header"/>
    <w:basedOn w:val="996"/>
    <w:link w:val="1090"/>
    <w:uiPriority w:val="99"/>
    <w:unhideWhenUsed/>
    <w:qFormat/>
    <w:pPr>
      <w:tabs>
        <w:tab w:val="center" w:pos="7143" w:leader="none"/>
        <w:tab w:val="right" w:pos="14287" w:leader="none"/>
      </w:tabs>
    </w:pPr>
  </w:style>
  <w:style w:type="paragraph" w:styleId="1019">
    <w:name w:val="toc 1"/>
    <w:basedOn w:val="996"/>
    <w:next w:val="996"/>
    <w:uiPriority w:val="39"/>
    <w:unhideWhenUsed/>
    <w:qFormat/>
    <w:pPr>
      <w:spacing w:after="57"/>
    </w:pPr>
  </w:style>
  <w:style w:type="paragraph" w:styleId="1020">
    <w:name w:val="toc 4"/>
    <w:basedOn w:val="996"/>
    <w:next w:val="996"/>
    <w:uiPriority w:val="39"/>
    <w:unhideWhenUsed/>
    <w:qFormat/>
    <w:pPr>
      <w:ind w:left="850"/>
      <w:spacing w:after="57"/>
    </w:pPr>
  </w:style>
  <w:style w:type="paragraph" w:styleId="1021">
    <w:name w:val="Subtitle"/>
    <w:basedOn w:val="996"/>
    <w:next w:val="996"/>
    <w:link w:val="1087"/>
    <w:uiPriority w:val="11"/>
    <w:qFormat/>
    <w:pPr>
      <w:spacing w:before="200" w:after="200"/>
    </w:pPr>
    <w:rPr>
      <w:sz w:val="24"/>
      <w:szCs w:val="24"/>
    </w:rPr>
  </w:style>
  <w:style w:type="paragraph" w:styleId="1022">
    <w:name w:val="footnote text"/>
    <w:basedOn w:val="996"/>
    <w:link w:val="1092"/>
    <w:uiPriority w:val="99"/>
    <w:semiHidden/>
    <w:unhideWhenUsed/>
    <w:qFormat/>
    <w:pPr>
      <w:spacing w:after="40"/>
    </w:pPr>
    <w:rPr>
      <w:sz w:val="18"/>
    </w:rPr>
  </w:style>
  <w:style w:type="paragraph" w:styleId="1023">
    <w:name w:val="toc 6"/>
    <w:basedOn w:val="996"/>
    <w:next w:val="996"/>
    <w:uiPriority w:val="39"/>
    <w:unhideWhenUsed/>
    <w:qFormat/>
    <w:pPr>
      <w:ind w:left="1417"/>
      <w:spacing w:after="57"/>
    </w:pPr>
  </w:style>
  <w:style w:type="paragraph" w:styleId="1024">
    <w:name w:val="table of figures"/>
    <w:basedOn w:val="996"/>
    <w:next w:val="996"/>
    <w:uiPriority w:val="99"/>
    <w:unhideWhenUsed/>
    <w:qFormat/>
  </w:style>
  <w:style w:type="paragraph" w:styleId="1025">
    <w:name w:val="toc 2"/>
    <w:basedOn w:val="996"/>
    <w:next w:val="996"/>
    <w:uiPriority w:val="39"/>
    <w:unhideWhenUsed/>
    <w:qFormat/>
    <w:pPr>
      <w:ind w:left="283"/>
      <w:spacing w:after="57"/>
    </w:pPr>
  </w:style>
  <w:style w:type="paragraph" w:styleId="1026">
    <w:name w:val="toc 9"/>
    <w:basedOn w:val="996"/>
    <w:next w:val="996"/>
    <w:uiPriority w:val="39"/>
    <w:unhideWhenUsed/>
    <w:qFormat/>
    <w:pPr>
      <w:ind w:left="2268"/>
      <w:spacing w:after="57"/>
    </w:pPr>
  </w:style>
  <w:style w:type="paragraph" w:styleId="1027">
    <w:name w:val="Normal (Web)"/>
    <w:basedOn w:val="996"/>
    <w:uiPriority w:val="0"/>
    <w:qFormat/>
    <w:pPr>
      <w:jc w:val="left"/>
      <w:spacing w:beforeAutospacing="1" w:afterAutospacing="1"/>
    </w:pPr>
    <w:rPr>
      <w:sz w:val="24"/>
    </w:rPr>
  </w:style>
  <w:style w:type="paragraph" w:styleId="1028">
    <w:name w:val="Title"/>
    <w:basedOn w:val="996"/>
    <w:next w:val="996"/>
    <w:link w:val="1086"/>
    <w:uiPriority w:val="10"/>
    <w:qFormat/>
    <w:pPr>
      <w:contextualSpacing/>
      <w:spacing w:before="300" w:after="200"/>
    </w:pPr>
    <w:rPr>
      <w:sz w:val="48"/>
      <w:szCs w:val="48"/>
    </w:rPr>
  </w:style>
  <w:style w:type="paragraph" w:styleId="1029">
    <w:name w:val="Body Text First Indent"/>
    <w:basedOn w:val="996"/>
    <w:uiPriority w:val="0"/>
    <w:qFormat/>
    <w:pPr>
      <w:ind w:firstLine="200"/>
      <w:spacing w:line="360" w:lineRule="auto"/>
    </w:pPr>
    <w:rPr>
      <w:rFonts w:ascii="仿宋_GB2312" w:eastAsia="仿宋_GB2312"/>
      <w:sz w:val="30"/>
      <w:szCs w:val="30"/>
    </w:rPr>
  </w:style>
  <w:style w:type="table" w:styleId="10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1">
    <w:name w:val="Strong"/>
    <w:basedOn w:val="1006"/>
    <w:uiPriority w:val="0"/>
    <w:qFormat/>
    <w:rPr>
      <w:b/>
    </w:rPr>
  </w:style>
  <w:style w:type="character" w:styleId="1032">
    <w:name w:val="endnote reference"/>
    <w:uiPriority w:val="99"/>
    <w:semiHidden/>
    <w:unhideWhenUsed/>
    <w:qFormat/>
    <w:rPr>
      <w:vertAlign w:val="superscript"/>
    </w:rPr>
  </w:style>
  <w:style w:type="character" w:styleId="1033">
    <w:name w:val="Hyperlink"/>
    <w:uiPriority w:val="99"/>
    <w:unhideWhenUsed/>
    <w:qFormat/>
    <w:rPr>
      <w:color w:val="0000ff" w:themeColor="hyperlink"/>
      <w:u w:val="single"/>
      <w14:textFill>
        <w14:solidFill>
          <w14:schemeClr w14:val="hlink"/>
        </w14:solidFill>
      </w14:textFill>
    </w:rPr>
  </w:style>
  <w:style w:type="character" w:styleId="1034">
    <w:name w:val="footnote reference"/>
    <w:uiPriority w:val="99"/>
    <w:unhideWhenUsed/>
    <w:qFormat/>
    <w:rPr>
      <w:vertAlign w:val="superscript"/>
    </w:rPr>
  </w:style>
  <w:style w:type="paragraph" w:styleId="1035" w:customStyle="1">
    <w:name w:val="文本块11"/>
    <w:basedOn w:val="1036"/>
    <w:uiPriority w:val="0"/>
    <w:qFormat/>
    <w:pPr>
      <w:ind w:left="256" w:right="6" w:firstLine="624"/>
    </w:pPr>
    <w:rPr>
      <w:rFonts w:eastAsia="仿宋_GB2312"/>
      <w:sz w:val="28"/>
      <w:szCs w:val="20"/>
    </w:rPr>
  </w:style>
  <w:style w:type="paragraph" w:styleId="1036" w:customStyle="1">
    <w:name w:val="正文12"/>
    <w:next w:val="103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7" w:customStyle="1">
    <w:name w:val="Heading 1 Char"/>
    <w:basedOn w:val="1006"/>
    <w:uiPriority w:val="9"/>
    <w:qFormat/>
    <w:rPr>
      <w:rFonts w:ascii="Arial" w:hAnsi="Arial" w:eastAsia="Arial" w:cs="Arial"/>
      <w:sz w:val="40"/>
      <w:szCs w:val="40"/>
    </w:rPr>
  </w:style>
  <w:style w:type="character" w:styleId="1038" w:customStyle="1">
    <w:name w:val="Heading 2 Char"/>
    <w:basedOn w:val="1006"/>
    <w:uiPriority w:val="9"/>
    <w:qFormat/>
    <w:rPr>
      <w:rFonts w:ascii="Arial" w:hAnsi="Arial" w:eastAsia="Arial" w:cs="Arial"/>
      <w:sz w:val="34"/>
    </w:rPr>
  </w:style>
  <w:style w:type="character" w:styleId="1039" w:customStyle="1">
    <w:name w:val="Heading 3 Char"/>
    <w:basedOn w:val="1006"/>
    <w:uiPriority w:val="9"/>
    <w:qFormat/>
    <w:rPr>
      <w:rFonts w:ascii="Arial" w:hAnsi="Arial" w:eastAsia="Arial" w:cs="Arial"/>
      <w:sz w:val="30"/>
      <w:szCs w:val="30"/>
    </w:rPr>
  </w:style>
  <w:style w:type="character" w:styleId="1040" w:customStyle="1">
    <w:name w:val="Heading 4 Char"/>
    <w:basedOn w:val="1006"/>
    <w:uiPriority w:val="9"/>
    <w:qFormat/>
    <w:rPr>
      <w:rFonts w:ascii="Arial" w:hAnsi="Arial" w:eastAsia="Arial" w:cs="Arial"/>
      <w:b/>
      <w:bCs/>
      <w:sz w:val="26"/>
      <w:szCs w:val="26"/>
    </w:rPr>
  </w:style>
  <w:style w:type="character" w:styleId="1041" w:customStyle="1">
    <w:name w:val="Heading 5 Char"/>
    <w:basedOn w:val="1006"/>
    <w:uiPriority w:val="9"/>
    <w:qFormat/>
    <w:rPr>
      <w:rFonts w:ascii="Arial" w:hAnsi="Arial" w:eastAsia="Arial" w:cs="Arial"/>
      <w:b/>
      <w:bCs/>
      <w:sz w:val="24"/>
      <w:szCs w:val="24"/>
    </w:rPr>
  </w:style>
  <w:style w:type="character" w:styleId="1042" w:customStyle="1">
    <w:name w:val="Heading 6 Char"/>
    <w:basedOn w:val="1006"/>
    <w:uiPriority w:val="9"/>
    <w:qFormat/>
    <w:rPr>
      <w:rFonts w:ascii="Arial" w:hAnsi="Arial" w:eastAsia="Arial" w:cs="Arial"/>
      <w:b/>
      <w:bCs/>
      <w:sz w:val="22"/>
      <w:szCs w:val="22"/>
    </w:rPr>
  </w:style>
  <w:style w:type="character" w:styleId="1043" w:customStyle="1">
    <w:name w:val="Heading 7 Char"/>
    <w:basedOn w:val="1006"/>
    <w:uiPriority w:val="9"/>
    <w:qFormat/>
    <w:rPr>
      <w:rFonts w:ascii="Arial" w:hAnsi="Arial" w:eastAsia="Arial" w:cs="Arial"/>
      <w:b/>
      <w:bCs/>
      <w:i/>
      <w:iCs/>
      <w:sz w:val="22"/>
      <w:szCs w:val="22"/>
    </w:rPr>
  </w:style>
  <w:style w:type="character" w:styleId="1044" w:customStyle="1">
    <w:name w:val="Heading 8 Char"/>
    <w:basedOn w:val="1006"/>
    <w:uiPriority w:val="9"/>
    <w:qFormat/>
    <w:rPr>
      <w:rFonts w:ascii="Arial" w:hAnsi="Arial" w:eastAsia="Arial" w:cs="Arial"/>
      <w:i/>
      <w:iCs/>
      <w:sz w:val="22"/>
      <w:szCs w:val="22"/>
    </w:rPr>
  </w:style>
  <w:style w:type="character" w:styleId="1045" w:customStyle="1">
    <w:name w:val="Heading 9 Char"/>
    <w:basedOn w:val="1006"/>
    <w:uiPriority w:val="9"/>
    <w:qFormat/>
    <w:rPr>
      <w:rFonts w:ascii="Arial" w:hAnsi="Arial" w:eastAsia="Arial" w:cs="Arial"/>
      <w:i/>
      <w:iCs/>
      <w:sz w:val="21"/>
      <w:szCs w:val="21"/>
    </w:rPr>
  </w:style>
  <w:style w:type="character" w:styleId="1046" w:customStyle="1">
    <w:name w:val="Title Char"/>
    <w:basedOn w:val="1006"/>
    <w:uiPriority w:val="10"/>
    <w:qFormat/>
    <w:rPr>
      <w:sz w:val="48"/>
      <w:szCs w:val="48"/>
    </w:rPr>
  </w:style>
  <w:style w:type="character" w:styleId="1047" w:customStyle="1">
    <w:name w:val="Subtitle Char"/>
    <w:basedOn w:val="1006"/>
    <w:uiPriority w:val="11"/>
    <w:qFormat/>
    <w:rPr>
      <w:sz w:val="24"/>
      <w:szCs w:val="24"/>
    </w:rPr>
  </w:style>
  <w:style w:type="character" w:styleId="1048" w:customStyle="1">
    <w:name w:val="Header Char"/>
    <w:basedOn w:val="1006"/>
    <w:uiPriority w:val="99"/>
    <w:qFormat/>
  </w:style>
  <w:style w:type="character" w:styleId="1049" w:customStyle="1">
    <w:name w:val="Caption Char"/>
    <w:uiPriority w:val="99"/>
    <w:qFormat/>
  </w:style>
  <w:style w:type="table" w:styleId="1050" w:customStyle="1">
    <w:name w:val="Plain Table 1"/>
    <w:basedOn w:val="10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1" w:customStyle="1">
    <w:name w:val="Plain Table 2"/>
    <w:basedOn w:val="10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Plain Table 3"/>
    <w:basedOn w:val="10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3" w:customStyle="1">
    <w:name w:val="Plain Table 4"/>
    <w:basedOn w:val="10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4" w:customStyle="1">
    <w:name w:val="Plain Table 5"/>
    <w:basedOn w:val="10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5" w:customStyle="1">
    <w:name w:val="Grid Table 1 Light"/>
    <w:basedOn w:val="10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6" w:customStyle="1">
    <w:name w:val="Grid Table 2"/>
    <w:basedOn w:val="10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7" w:customStyle="1">
    <w:name w:val="Grid Table 3"/>
    <w:basedOn w:val="10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4"/>
    <w:basedOn w:val="10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5 Dark"/>
    <w:basedOn w:val="10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6 Colorful"/>
    <w:basedOn w:val="10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1" w:customStyle="1">
    <w:name w:val="Grid Table 7 Colorful"/>
    <w:basedOn w:val="10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1 Light"/>
    <w:basedOn w:val="10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2"/>
    <w:basedOn w:val="10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4" w:customStyle="1">
    <w:name w:val="List Table 3"/>
    <w:basedOn w:val="10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w:basedOn w:val="10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5 Dark"/>
    <w:basedOn w:val="10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6 Colorful"/>
    <w:basedOn w:val="10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8" w:customStyle="1">
    <w:name w:val="List Table 7 Colorful"/>
    <w:basedOn w:val="10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69" w:customStyle="1">
    <w:name w:val="Footnote Text Char"/>
    <w:uiPriority w:val="99"/>
    <w:qFormat/>
    <w:rPr>
      <w:sz w:val="18"/>
    </w:rPr>
  </w:style>
  <w:style w:type="character" w:styleId="1070" w:customStyle="1">
    <w:name w:val="Endnote Text Char"/>
    <w:uiPriority w:val="99"/>
    <w:qFormat/>
    <w:rPr>
      <w:sz w:val="20"/>
    </w:rPr>
  </w:style>
  <w:style w:type="paragraph" w:styleId="1071" w:customStyle="1">
    <w:name w:val="TOC Heading"/>
    <w:uiPriority w:val="39"/>
    <w:unhideWhenUsed/>
    <w:qFormat/>
    <w:rPr>
      <w:rFonts w:hint="default" w:ascii="Times New Roman" w:hAnsi="Times New Roman" w:eastAsia="宋体" w:cs="Times New Roman"/>
    </w:rPr>
  </w:style>
  <w:style w:type="paragraph" w:styleId="1072" w:customStyle="1">
    <w:name w:val="标题 21"/>
    <w:basedOn w:val="1073"/>
    <w:next w:val="996"/>
    <w:uiPriority w:val="9"/>
    <w:qFormat/>
    <w:pPr>
      <w:keepLines/>
      <w:keepNext/>
      <w:spacing w:before="360" w:after="200"/>
      <w:outlineLvl w:val="1"/>
    </w:pPr>
    <w:rPr>
      <w:rFonts w:ascii="Arial" w:hAnsi="Arial" w:eastAsia="Arial"/>
      <w:sz w:val="34"/>
      <w:szCs w:val="20"/>
    </w:rPr>
  </w:style>
  <w:style w:type="paragraph" w:styleId="1073" w:customStyle="1">
    <w:name w:val="正文111"/>
    <w:next w:val="1074"/>
    <w:link w:val="1179"/>
    <w:uiPriority w:val="0"/>
    <w:qFormat/>
    <w:pPr>
      <w:jc w:val="both"/>
      <w:widowControl w:val="off"/>
    </w:pPr>
    <w:rPr>
      <w:rFonts w:hint="default" w:ascii="Calibri" w:hAnsi="Calibri" w:eastAsia="宋体" w:cs="Calibri"/>
      <w:color w:val="000000"/>
      <w:sz w:val="22"/>
      <w:szCs w:val="22"/>
      <w:lang w:val="en-US" w:eastAsia="zh-CN" w:bidi="ar-SA"/>
    </w:rPr>
  </w:style>
  <w:style w:type="paragraph" w:styleId="1074" w:customStyle="1">
    <w:name w:val="文本块1"/>
    <w:basedOn w:val="1075"/>
    <w:uiPriority w:val="0"/>
    <w:qFormat/>
    <w:pPr>
      <w:ind w:left="256" w:right="6" w:firstLine="624"/>
    </w:pPr>
    <w:rPr>
      <w:rFonts w:eastAsia="仿宋_GB2312"/>
      <w:sz w:val="28"/>
    </w:rPr>
  </w:style>
  <w:style w:type="paragraph" w:styleId="1075" w:customStyle="1">
    <w:name w:val="正文11"/>
    <w:next w:val="1076"/>
    <w:link w:val="1177"/>
    <w:uiPriority w:val="0"/>
    <w:qFormat/>
    <w:pPr>
      <w:jc w:val="both"/>
    </w:pPr>
    <w:rPr>
      <w:rFonts w:hint="default" w:ascii="Times New Roman" w:hAnsi="Times New Roman" w:eastAsia="宋体" w:cs="Times New Roman"/>
      <w:lang w:val="en-US" w:eastAsia="zh-CN" w:bidi="ar-SA"/>
    </w:rPr>
  </w:style>
  <w:style w:type="paragraph" w:styleId="1076" w:customStyle="1">
    <w:name w:val="标题 211"/>
    <w:basedOn w:val="996"/>
    <w:next w:val="1075"/>
    <w:link w:val="1106"/>
    <w:uiPriority w:val="9"/>
    <w:unhideWhenUsed/>
    <w:qFormat/>
    <w:pPr>
      <w:keepLines/>
      <w:keepNext/>
      <w:spacing w:before="360" w:after="200"/>
      <w:outlineLvl w:val="1"/>
    </w:pPr>
    <w:rPr>
      <w:rFonts w:ascii="Arial" w:hAnsi="Arial" w:eastAsia="Arial" w:cs="Arial"/>
      <w:sz w:val="34"/>
    </w:rPr>
  </w:style>
  <w:style w:type="character" w:styleId="1077" w:customStyle="1">
    <w:name w:val="标题 1 字符"/>
    <w:link w:val="997"/>
    <w:uiPriority w:val="9"/>
    <w:qFormat/>
    <w:rPr>
      <w:rFonts w:ascii="Arial" w:hAnsi="Arial" w:eastAsia="Arial" w:cs="Arial"/>
      <w:sz w:val="40"/>
      <w:szCs w:val="40"/>
    </w:rPr>
  </w:style>
  <w:style w:type="character" w:styleId="1078" w:customStyle="1">
    <w:name w:val="标题 2 字符"/>
    <w:link w:val="998"/>
    <w:uiPriority w:val="9"/>
    <w:qFormat/>
    <w:rPr>
      <w:rFonts w:ascii="Arial" w:hAnsi="Arial" w:eastAsia="Arial" w:cs="Arial"/>
      <w:sz w:val="34"/>
    </w:rPr>
  </w:style>
  <w:style w:type="character" w:styleId="1079" w:customStyle="1">
    <w:name w:val="标题 3 字符"/>
    <w:link w:val="999"/>
    <w:uiPriority w:val="9"/>
    <w:qFormat/>
    <w:rPr>
      <w:rFonts w:ascii="Arial" w:hAnsi="Arial" w:eastAsia="Arial" w:cs="Arial"/>
      <w:sz w:val="30"/>
      <w:szCs w:val="30"/>
    </w:rPr>
  </w:style>
  <w:style w:type="character" w:styleId="1080" w:customStyle="1">
    <w:name w:val="标题 4 字符"/>
    <w:link w:val="1000"/>
    <w:uiPriority w:val="9"/>
    <w:qFormat/>
    <w:rPr>
      <w:rFonts w:ascii="Arial" w:hAnsi="Arial" w:eastAsia="Arial" w:cs="Arial"/>
      <w:b/>
      <w:bCs/>
      <w:sz w:val="26"/>
      <w:szCs w:val="26"/>
    </w:rPr>
  </w:style>
  <w:style w:type="character" w:styleId="1081" w:customStyle="1">
    <w:name w:val="标题 5 字符"/>
    <w:link w:val="1001"/>
    <w:uiPriority w:val="9"/>
    <w:qFormat/>
    <w:rPr>
      <w:rFonts w:ascii="Arial" w:hAnsi="Arial" w:eastAsia="Arial" w:cs="Arial"/>
      <w:b/>
      <w:bCs/>
      <w:sz w:val="24"/>
      <w:szCs w:val="24"/>
    </w:rPr>
  </w:style>
  <w:style w:type="character" w:styleId="1082" w:customStyle="1">
    <w:name w:val="标题 6 字符"/>
    <w:link w:val="1002"/>
    <w:uiPriority w:val="9"/>
    <w:qFormat/>
    <w:rPr>
      <w:rFonts w:ascii="Arial" w:hAnsi="Arial" w:eastAsia="Arial" w:cs="Arial"/>
      <w:b/>
      <w:bCs/>
      <w:sz w:val="22"/>
      <w:szCs w:val="22"/>
    </w:rPr>
  </w:style>
  <w:style w:type="character" w:styleId="1083" w:customStyle="1">
    <w:name w:val="标题 7 字符"/>
    <w:link w:val="1003"/>
    <w:uiPriority w:val="9"/>
    <w:qFormat/>
    <w:rPr>
      <w:rFonts w:ascii="Arial" w:hAnsi="Arial" w:eastAsia="Arial" w:cs="Arial"/>
      <w:b/>
      <w:bCs/>
      <w:i/>
      <w:iCs/>
      <w:sz w:val="22"/>
      <w:szCs w:val="22"/>
    </w:rPr>
  </w:style>
  <w:style w:type="character" w:styleId="1084" w:customStyle="1">
    <w:name w:val="标题 8 字符"/>
    <w:link w:val="1004"/>
    <w:uiPriority w:val="9"/>
    <w:qFormat/>
    <w:rPr>
      <w:rFonts w:ascii="Arial" w:hAnsi="Arial" w:eastAsia="Arial" w:cs="Arial"/>
      <w:i/>
      <w:iCs/>
      <w:sz w:val="22"/>
      <w:szCs w:val="22"/>
    </w:rPr>
  </w:style>
  <w:style w:type="character" w:styleId="1085" w:customStyle="1">
    <w:name w:val="标题 9 字符"/>
    <w:link w:val="1005"/>
    <w:uiPriority w:val="9"/>
    <w:qFormat/>
    <w:rPr>
      <w:rFonts w:ascii="Arial" w:hAnsi="Arial" w:eastAsia="Arial" w:cs="Arial"/>
      <w:i/>
      <w:iCs/>
      <w:sz w:val="21"/>
      <w:szCs w:val="21"/>
    </w:rPr>
  </w:style>
  <w:style w:type="character" w:styleId="1086" w:customStyle="1">
    <w:name w:val="标题 字符"/>
    <w:link w:val="1028"/>
    <w:uiPriority w:val="10"/>
    <w:qFormat/>
    <w:rPr>
      <w:sz w:val="48"/>
      <w:szCs w:val="48"/>
    </w:rPr>
  </w:style>
  <w:style w:type="character" w:styleId="1087" w:customStyle="1">
    <w:name w:val="副标题 字符"/>
    <w:link w:val="1021"/>
    <w:uiPriority w:val="11"/>
    <w:qFormat/>
    <w:rPr>
      <w:sz w:val="24"/>
      <w:szCs w:val="24"/>
    </w:rPr>
  </w:style>
  <w:style w:type="character" w:styleId="1088" w:customStyle="1">
    <w:name w:val="Quote Char"/>
    <w:uiPriority w:val="29"/>
    <w:qFormat/>
    <w:rPr>
      <w:i/>
    </w:rPr>
  </w:style>
  <w:style w:type="character" w:styleId="1089" w:customStyle="1">
    <w:name w:val="Intense Quote Char"/>
    <w:uiPriority w:val="30"/>
    <w:qFormat/>
    <w:rPr>
      <w:i/>
    </w:rPr>
  </w:style>
  <w:style w:type="character" w:styleId="1090" w:customStyle="1">
    <w:name w:val="页眉 字符"/>
    <w:link w:val="1018"/>
    <w:uiPriority w:val="99"/>
    <w:qFormat/>
  </w:style>
  <w:style w:type="character" w:styleId="1091" w:customStyle="1">
    <w:name w:val="页脚 字符"/>
    <w:link w:val="1017"/>
    <w:uiPriority w:val="99"/>
    <w:qFormat/>
  </w:style>
  <w:style w:type="character" w:styleId="1092" w:customStyle="1">
    <w:name w:val="脚注文本 字符"/>
    <w:link w:val="1022"/>
    <w:uiPriority w:val="99"/>
    <w:qFormat/>
    <w:rPr>
      <w:sz w:val="18"/>
    </w:rPr>
  </w:style>
  <w:style w:type="character" w:styleId="1093" w:customStyle="1">
    <w:name w:val="尾注文本 字符"/>
    <w:link w:val="1016"/>
    <w:uiPriority w:val="99"/>
    <w:qFormat/>
    <w:rPr>
      <w:sz w:val="20"/>
    </w:rPr>
  </w:style>
  <w:style w:type="paragraph" w:styleId="1094" w:customStyle="1">
    <w:name w:val="TOC 标题1"/>
    <w:uiPriority w:val="39"/>
    <w:unhideWhenUsed/>
    <w:qFormat/>
    <w:rPr>
      <w:rFonts w:hint="default" w:ascii="Times New Roman" w:hAnsi="Times New Roman" w:eastAsia="宋体" w:cs="Times New Roman"/>
      <w:lang w:val="en-US" w:eastAsia="zh-CN" w:bidi="ar-SA"/>
    </w:rPr>
  </w:style>
  <w:style w:type="paragraph" w:styleId="1095" w:customStyle="1">
    <w:name w:val="标题 1111"/>
    <w:basedOn w:val="996"/>
    <w:next w:val="996"/>
    <w:link w:val="1105"/>
    <w:uiPriority w:val="9"/>
    <w:qFormat/>
    <w:pPr>
      <w:keepLines/>
      <w:keepNext/>
      <w:spacing w:before="480" w:after="200"/>
      <w:outlineLvl w:val="0"/>
    </w:pPr>
    <w:rPr>
      <w:rFonts w:ascii="Arial" w:hAnsi="Arial" w:eastAsia="Arial" w:cs="Arial"/>
      <w:sz w:val="40"/>
      <w:szCs w:val="40"/>
    </w:rPr>
  </w:style>
  <w:style w:type="paragraph" w:styleId="1096" w:customStyle="1">
    <w:name w:val="标题 311"/>
    <w:basedOn w:val="996"/>
    <w:next w:val="996"/>
    <w:link w:val="1107"/>
    <w:uiPriority w:val="9"/>
    <w:unhideWhenUsed/>
    <w:qFormat/>
    <w:pPr>
      <w:keepLines/>
      <w:keepNext/>
      <w:spacing w:before="320" w:after="200"/>
      <w:outlineLvl w:val="2"/>
    </w:pPr>
    <w:rPr>
      <w:rFonts w:ascii="Arial" w:hAnsi="Arial" w:eastAsia="Arial" w:cs="Arial"/>
      <w:sz w:val="30"/>
      <w:szCs w:val="30"/>
    </w:rPr>
  </w:style>
  <w:style w:type="paragraph" w:styleId="1097" w:customStyle="1">
    <w:name w:val="标题 411"/>
    <w:basedOn w:val="996"/>
    <w:next w:val="996"/>
    <w:link w:val="1108"/>
    <w:uiPriority w:val="9"/>
    <w:unhideWhenUsed/>
    <w:qFormat/>
    <w:pPr>
      <w:keepLines/>
      <w:keepNext/>
      <w:spacing w:before="320" w:after="200"/>
      <w:outlineLvl w:val="3"/>
    </w:pPr>
    <w:rPr>
      <w:rFonts w:ascii="Arial" w:hAnsi="Arial" w:eastAsia="Arial" w:cs="Arial"/>
      <w:b/>
      <w:bCs/>
      <w:sz w:val="26"/>
      <w:szCs w:val="26"/>
    </w:rPr>
  </w:style>
  <w:style w:type="paragraph" w:styleId="1098" w:customStyle="1">
    <w:name w:val="标题 51"/>
    <w:basedOn w:val="996"/>
    <w:next w:val="996"/>
    <w:link w:val="1109"/>
    <w:uiPriority w:val="9"/>
    <w:unhideWhenUsed/>
    <w:qFormat/>
    <w:pPr>
      <w:keepLines/>
      <w:keepNext/>
      <w:spacing w:before="320" w:after="200"/>
      <w:outlineLvl w:val="4"/>
    </w:pPr>
    <w:rPr>
      <w:rFonts w:ascii="Arial" w:hAnsi="Arial" w:eastAsia="Arial" w:cs="Arial"/>
      <w:b/>
      <w:bCs/>
      <w:sz w:val="24"/>
      <w:szCs w:val="24"/>
    </w:rPr>
  </w:style>
  <w:style w:type="paragraph" w:styleId="1099" w:customStyle="1">
    <w:name w:val="标题 61"/>
    <w:basedOn w:val="996"/>
    <w:next w:val="996"/>
    <w:link w:val="1110"/>
    <w:uiPriority w:val="9"/>
    <w:unhideWhenUsed/>
    <w:qFormat/>
    <w:pPr>
      <w:keepLines/>
      <w:keepNext/>
      <w:spacing w:before="320" w:after="200"/>
      <w:outlineLvl w:val="5"/>
    </w:pPr>
    <w:rPr>
      <w:rFonts w:ascii="Arial" w:hAnsi="Arial" w:eastAsia="Arial" w:cs="Arial"/>
      <w:b/>
      <w:bCs/>
      <w:sz w:val="22"/>
      <w:szCs w:val="22"/>
    </w:rPr>
  </w:style>
  <w:style w:type="paragraph" w:styleId="1100" w:customStyle="1">
    <w:name w:val="标题 71"/>
    <w:basedOn w:val="996"/>
    <w:next w:val="996"/>
    <w:link w:val="1111"/>
    <w:uiPriority w:val="9"/>
    <w:unhideWhenUsed/>
    <w:qFormat/>
    <w:pPr>
      <w:keepLines/>
      <w:keepNext/>
      <w:spacing w:before="320" w:after="200"/>
      <w:outlineLvl w:val="6"/>
    </w:pPr>
    <w:rPr>
      <w:rFonts w:ascii="Arial" w:hAnsi="Arial" w:eastAsia="Arial" w:cs="Arial"/>
      <w:b/>
      <w:bCs/>
      <w:i/>
      <w:iCs/>
      <w:sz w:val="22"/>
      <w:szCs w:val="22"/>
    </w:rPr>
  </w:style>
  <w:style w:type="paragraph" w:styleId="1101" w:customStyle="1">
    <w:name w:val="标题 81"/>
    <w:basedOn w:val="996"/>
    <w:next w:val="996"/>
    <w:link w:val="1112"/>
    <w:uiPriority w:val="9"/>
    <w:unhideWhenUsed/>
    <w:qFormat/>
    <w:pPr>
      <w:keepLines/>
      <w:keepNext/>
      <w:spacing w:before="320" w:after="200"/>
      <w:outlineLvl w:val="7"/>
    </w:pPr>
    <w:rPr>
      <w:rFonts w:ascii="Arial" w:hAnsi="Arial" w:eastAsia="Arial" w:cs="Arial"/>
      <w:i/>
      <w:iCs/>
      <w:sz w:val="22"/>
      <w:szCs w:val="22"/>
    </w:rPr>
  </w:style>
  <w:style w:type="paragraph" w:styleId="1102" w:customStyle="1">
    <w:name w:val="标题 91"/>
    <w:basedOn w:val="996"/>
    <w:next w:val="996"/>
    <w:link w:val="1113"/>
    <w:uiPriority w:val="9"/>
    <w:unhideWhenUsed/>
    <w:qFormat/>
    <w:pPr>
      <w:keepLines/>
      <w:keepNext/>
      <w:spacing w:before="320" w:after="200"/>
      <w:outlineLvl w:val="8"/>
    </w:pPr>
    <w:rPr>
      <w:rFonts w:ascii="Arial" w:hAnsi="Arial" w:eastAsia="Arial" w:cs="Arial"/>
      <w:i/>
      <w:iCs/>
    </w:rPr>
  </w:style>
  <w:style w:type="character" w:styleId="1103" w:customStyle="1">
    <w:name w:val="默认段落字体11"/>
    <w:uiPriority w:val="1"/>
    <w:unhideWhenUsed/>
    <w:qFormat/>
  </w:style>
  <w:style w:type="table" w:styleId="1104" w:customStyle="1">
    <w:name w:val="普通表格11"/>
    <w:uiPriority w:val="99"/>
    <w:unhideWhenUsed/>
    <w:qFormat/>
    <w:tblPr>
      <w:tblCellMar>
        <w:left w:w="0" w:type="dxa"/>
        <w:top w:w="0" w:type="dxa"/>
        <w:right w:w="0" w:type="dxa"/>
        <w:bottom w:w="0" w:type="dxa"/>
      </w:tblCellMar>
    </w:tblPr>
  </w:style>
  <w:style w:type="character" w:styleId="1105" w:customStyle="1">
    <w:name w:val="标题 1 Char1"/>
    <w:link w:val="1095"/>
    <w:uiPriority w:val="9"/>
    <w:qFormat/>
    <w:rPr>
      <w:rFonts w:ascii="Arial" w:hAnsi="Arial" w:eastAsia="Arial" w:cs="Arial"/>
      <w:sz w:val="40"/>
      <w:szCs w:val="40"/>
    </w:rPr>
  </w:style>
  <w:style w:type="character" w:styleId="1106" w:customStyle="1">
    <w:name w:val="标题 2 Char"/>
    <w:link w:val="1076"/>
    <w:uiPriority w:val="9"/>
    <w:qFormat/>
    <w:rPr>
      <w:rFonts w:ascii="Arial" w:hAnsi="Arial" w:eastAsia="Arial" w:cs="Arial"/>
      <w:sz w:val="34"/>
    </w:rPr>
  </w:style>
  <w:style w:type="character" w:styleId="1107" w:customStyle="1">
    <w:name w:val="标题 3 Char"/>
    <w:link w:val="1096"/>
    <w:uiPriority w:val="9"/>
    <w:qFormat/>
    <w:rPr>
      <w:rFonts w:ascii="Arial" w:hAnsi="Arial" w:eastAsia="Arial" w:cs="Arial"/>
      <w:sz w:val="30"/>
      <w:szCs w:val="30"/>
    </w:rPr>
  </w:style>
  <w:style w:type="character" w:styleId="1108" w:customStyle="1">
    <w:name w:val="标题 4 Char"/>
    <w:link w:val="1097"/>
    <w:uiPriority w:val="9"/>
    <w:qFormat/>
    <w:rPr>
      <w:rFonts w:ascii="Arial" w:hAnsi="Arial" w:eastAsia="Arial" w:cs="Arial"/>
      <w:b/>
      <w:bCs/>
      <w:sz w:val="26"/>
      <w:szCs w:val="26"/>
    </w:rPr>
  </w:style>
  <w:style w:type="character" w:styleId="1109" w:customStyle="1">
    <w:name w:val="标题 5 Char"/>
    <w:link w:val="1098"/>
    <w:uiPriority w:val="9"/>
    <w:qFormat/>
    <w:rPr>
      <w:rFonts w:ascii="Arial" w:hAnsi="Arial" w:eastAsia="Arial" w:cs="Arial"/>
      <w:b/>
      <w:bCs/>
      <w:sz w:val="24"/>
      <w:szCs w:val="24"/>
    </w:rPr>
  </w:style>
  <w:style w:type="character" w:styleId="1110" w:customStyle="1">
    <w:name w:val="标题 6 Char"/>
    <w:link w:val="1099"/>
    <w:uiPriority w:val="9"/>
    <w:qFormat/>
    <w:rPr>
      <w:rFonts w:ascii="Arial" w:hAnsi="Arial" w:eastAsia="Arial" w:cs="Arial"/>
      <w:b/>
      <w:bCs/>
      <w:sz w:val="22"/>
      <w:szCs w:val="22"/>
    </w:rPr>
  </w:style>
  <w:style w:type="character" w:styleId="1111" w:customStyle="1">
    <w:name w:val="标题 7 Char"/>
    <w:link w:val="1100"/>
    <w:uiPriority w:val="9"/>
    <w:qFormat/>
    <w:rPr>
      <w:rFonts w:ascii="Arial" w:hAnsi="Arial" w:eastAsia="Arial" w:cs="Arial"/>
      <w:b/>
      <w:bCs/>
      <w:i/>
      <w:iCs/>
      <w:sz w:val="22"/>
      <w:szCs w:val="22"/>
    </w:rPr>
  </w:style>
  <w:style w:type="character" w:styleId="1112" w:customStyle="1">
    <w:name w:val="标题 8 Char"/>
    <w:link w:val="1101"/>
    <w:uiPriority w:val="9"/>
    <w:qFormat/>
    <w:rPr>
      <w:rFonts w:ascii="Arial" w:hAnsi="Arial" w:eastAsia="Arial" w:cs="Arial"/>
      <w:i/>
      <w:iCs/>
      <w:sz w:val="22"/>
      <w:szCs w:val="22"/>
    </w:rPr>
  </w:style>
  <w:style w:type="character" w:styleId="1113" w:customStyle="1">
    <w:name w:val="标题 9 Char"/>
    <w:link w:val="1102"/>
    <w:uiPriority w:val="9"/>
    <w:qFormat/>
    <w:rPr>
      <w:rFonts w:ascii="Arial" w:hAnsi="Arial" w:eastAsia="Arial" w:cs="Arial"/>
      <w:i/>
      <w:iCs/>
      <w:sz w:val="21"/>
      <w:szCs w:val="21"/>
    </w:rPr>
  </w:style>
  <w:style w:type="paragraph" w:styleId="1114" w:customStyle="1">
    <w:name w:val="目录 71"/>
    <w:basedOn w:val="996"/>
    <w:next w:val="996"/>
    <w:uiPriority w:val="39"/>
    <w:unhideWhenUsed/>
    <w:qFormat/>
    <w:pPr>
      <w:ind w:left="1701"/>
      <w:spacing w:after="57"/>
    </w:pPr>
  </w:style>
  <w:style w:type="paragraph" w:styleId="1115" w:customStyle="1">
    <w:name w:val="题注1"/>
    <w:basedOn w:val="996"/>
    <w:next w:val="996"/>
    <w:uiPriority w:val="35"/>
    <w:unhideWhenUsed/>
    <w:qFormat/>
    <w:pPr>
      <w:spacing w:line="276" w:lineRule="auto"/>
    </w:pPr>
    <w:rPr>
      <w:b/>
      <w:bCs/>
      <w:color w:val="4f81bd"/>
      <w:sz w:val="18"/>
      <w:szCs w:val="18"/>
    </w:rPr>
  </w:style>
  <w:style w:type="paragraph" w:styleId="1116" w:customStyle="1">
    <w:name w:val="索引 512"/>
    <w:basedOn w:val="996"/>
    <w:next w:val="996"/>
    <w:uiPriority w:val="0"/>
    <w:qFormat/>
    <w:pPr>
      <w:ind w:left="798"/>
    </w:pPr>
    <w:rPr>
      <w:rFonts w:ascii="Calibri" w:hAnsi="Calibri"/>
    </w:rPr>
  </w:style>
  <w:style w:type="paragraph" w:styleId="1117" w:customStyle="1">
    <w:name w:val="引文目录标题1"/>
    <w:basedOn w:val="996"/>
    <w:next w:val="996"/>
    <w:uiPriority w:val="99"/>
    <w:qFormat/>
    <w:pPr>
      <w:spacing w:before="120"/>
    </w:pPr>
    <w:rPr>
      <w:rFonts w:ascii="Cambria" w:hAnsi="Cambria" w:cs="Cambria"/>
      <w:sz w:val="24"/>
    </w:rPr>
  </w:style>
  <w:style w:type="paragraph" w:styleId="1118" w:customStyle="1">
    <w:name w:val="批注文字11"/>
    <w:basedOn w:val="996"/>
    <w:link w:val="1119"/>
    <w:uiPriority w:val="99"/>
    <w:unhideWhenUsed/>
    <w:qFormat/>
    <w:pPr>
      <w:jc w:val="left"/>
    </w:pPr>
  </w:style>
  <w:style w:type="character" w:styleId="1119" w:customStyle="1">
    <w:name w:val="批注文字 Char"/>
    <w:basedOn w:val="1103"/>
    <w:link w:val="1118"/>
    <w:uiPriority w:val="99"/>
    <w:semiHidden/>
    <w:qFormat/>
    <w:rPr>
      <w:sz w:val="21"/>
      <w:szCs w:val="21"/>
    </w:rPr>
  </w:style>
  <w:style w:type="paragraph" w:styleId="1120" w:customStyle="1">
    <w:name w:val="正文文本112"/>
    <w:basedOn w:val="996"/>
    <w:next w:val="996"/>
    <w:uiPriority w:val="0"/>
    <w:qFormat/>
    <w:pPr>
      <w:jc w:val="left"/>
      <w:spacing w:after="120"/>
    </w:pPr>
    <w:rPr>
      <w:sz w:val="20"/>
      <w:szCs w:val="20"/>
    </w:rPr>
  </w:style>
  <w:style w:type="paragraph" w:styleId="1121" w:customStyle="1">
    <w:name w:val="正文文本缩进111"/>
    <w:basedOn w:val="996"/>
    <w:next w:val="1122"/>
    <w:uiPriority w:val="0"/>
    <w:qFormat/>
    <w:pPr>
      <w:ind w:left="420"/>
      <w:spacing w:after="120"/>
    </w:pPr>
  </w:style>
  <w:style w:type="paragraph" w:styleId="1122" w:customStyle="1">
    <w:name w:val="寄信人地址11"/>
    <w:basedOn w:val="996"/>
    <w:uiPriority w:val="0"/>
    <w:qFormat/>
    <w:rPr>
      <w:rFonts w:ascii="Arial" w:hAnsi="Arial"/>
    </w:rPr>
  </w:style>
  <w:style w:type="paragraph" w:styleId="1123" w:customStyle="1">
    <w:name w:val="文本块12"/>
    <w:basedOn w:val="996"/>
    <w:uiPriority w:val="0"/>
    <w:qFormat/>
    <w:pPr>
      <w:ind w:left="420" w:right="33"/>
      <w:jc w:val="left"/>
    </w:pPr>
    <w:rPr>
      <w:sz w:val="24"/>
      <w:szCs w:val="20"/>
    </w:rPr>
  </w:style>
  <w:style w:type="paragraph" w:styleId="1124" w:customStyle="1">
    <w:name w:val="目录 51"/>
    <w:basedOn w:val="996"/>
    <w:next w:val="996"/>
    <w:uiPriority w:val="39"/>
    <w:unhideWhenUsed/>
    <w:qFormat/>
    <w:pPr>
      <w:ind w:left="1134"/>
      <w:spacing w:after="57"/>
    </w:pPr>
  </w:style>
  <w:style w:type="paragraph" w:styleId="1125" w:customStyle="1">
    <w:name w:val="目录 31"/>
    <w:basedOn w:val="996"/>
    <w:next w:val="996"/>
    <w:uiPriority w:val="39"/>
    <w:unhideWhenUsed/>
    <w:qFormat/>
    <w:pPr>
      <w:ind w:left="567"/>
      <w:spacing w:after="57"/>
    </w:pPr>
  </w:style>
  <w:style w:type="paragraph" w:styleId="1126" w:customStyle="1">
    <w:name w:val="纯文本11"/>
    <w:basedOn w:val="996"/>
    <w:uiPriority w:val="0"/>
    <w:qFormat/>
    <w:rPr>
      <w:rFonts w:ascii="宋体" w:hAnsi="Courier New" w:eastAsia="仿宋_GB2312"/>
      <w:sz w:val="30"/>
      <w:szCs w:val="20"/>
    </w:rPr>
  </w:style>
  <w:style w:type="paragraph" w:styleId="1127" w:customStyle="1">
    <w:name w:val="目录 81"/>
    <w:basedOn w:val="996"/>
    <w:next w:val="996"/>
    <w:uiPriority w:val="39"/>
    <w:unhideWhenUsed/>
    <w:qFormat/>
    <w:pPr>
      <w:ind w:left="1984"/>
      <w:spacing w:after="57"/>
    </w:pPr>
  </w:style>
  <w:style w:type="paragraph" w:styleId="1128" w:customStyle="1">
    <w:name w:val="正文文本缩进 21"/>
    <w:basedOn w:val="996"/>
    <w:uiPriority w:val="0"/>
    <w:qFormat/>
    <w:pPr>
      <w:ind w:left="420"/>
      <w:spacing w:after="120" w:line="480" w:lineRule="auto"/>
    </w:pPr>
  </w:style>
  <w:style w:type="paragraph" w:styleId="1129" w:customStyle="1">
    <w:name w:val="尾注文本1"/>
    <w:basedOn w:val="996"/>
    <w:link w:val="1130"/>
    <w:uiPriority w:val="99"/>
    <w:unhideWhenUsed/>
    <w:qFormat/>
    <w:rPr>
      <w:sz w:val="20"/>
    </w:rPr>
  </w:style>
  <w:style w:type="character" w:styleId="1130" w:customStyle="1">
    <w:name w:val="尾注文本 Char"/>
    <w:link w:val="1129"/>
    <w:uiPriority w:val="99"/>
    <w:qFormat/>
    <w:rPr>
      <w:sz w:val="20"/>
    </w:rPr>
  </w:style>
  <w:style w:type="paragraph" w:styleId="1131" w:customStyle="1">
    <w:name w:val="批注框文本11"/>
    <w:basedOn w:val="996"/>
    <w:link w:val="1132"/>
    <w:uiPriority w:val="99"/>
    <w:unhideWhenUsed/>
    <w:qFormat/>
    <w:rPr>
      <w:sz w:val="18"/>
      <w:szCs w:val="18"/>
    </w:rPr>
  </w:style>
  <w:style w:type="character" w:styleId="1132" w:customStyle="1">
    <w:name w:val="批注框文本 Char1"/>
    <w:basedOn w:val="1103"/>
    <w:link w:val="1131"/>
    <w:uiPriority w:val="99"/>
    <w:semiHidden/>
    <w:qFormat/>
    <w:rPr>
      <w:sz w:val="18"/>
      <w:szCs w:val="18"/>
    </w:rPr>
  </w:style>
  <w:style w:type="paragraph" w:styleId="1133" w:customStyle="1">
    <w:name w:val="页脚11"/>
    <w:basedOn w:val="996"/>
    <w:link w:val="1134"/>
    <w:uiPriority w:val="99"/>
    <w:unhideWhenUsed/>
    <w:qFormat/>
    <w:pPr>
      <w:tabs>
        <w:tab w:val="center" w:pos="7143" w:leader="none"/>
        <w:tab w:val="right" w:pos="14287" w:leader="none"/>
      </w:tabs>
    </w:pPr>
  </w:style>
  <w:style w:type="character" w:styleId="1134" w:customStyle="1">
    <w:name w:val="页脚 Char"/>
    <w:link w:val="1133"/>
    <w:uiPriority w:val="99"/>
    <w:qFormat/>
  </w:style>
  <w:style w:type="paragraph" w:styleId="1135" w:customStyle="1">
    <w:name w:val="页眉11"/>
    <w:basedOn w:val="996"/>
    <w:link w:val="1136"/>
    <w:uiPriority w:val="99"/>
    <w:unhideWhenUsed/>
    <w:qFormat/>
    <w:pPr>
      <w:tabs>
        <w:tab w:val="center" w:pos="7143" w:leader="none"/>
        <w:tab w:val="right" w:pos="14287" w:leader="none"/>
      </w:tabs>
    </w:pPr>
  </w:style>
  <w:style w:type="character" w:styleId="1136" w:customStyle="1">
    <w:name w:val="页眉 Char"/>
    <w:link w:val="1135"/>
    <w:uiPriority w:val="99"/>
    <w:qFormat/>
  </w:style>
  <w:style w:type="paragraph" w:styleId="1137" w:customStyle="1">
    <w:name w:val="目录 11111"/>
    <w:basedOn w:val="996"/>
    <w:next w:val="996"/>
    <w:uiPriority w:val="39"/>
    <w:unhideWhenUsed/>
    <w:qFormat/>
    <w:pPr>
      <w:spacing w:after="57"/>
    </w:pPr>
  </w:style>
  <w:style w:type="paragraph" w:styleId="1138" w:customStyle="1">
    <w:name w:val="目录 41"/>
    <w:basedOn w:val="996"/>
    <w:next w:val="996"/>
    <w:uiPriority w:val="39"/>
    <w:unhideWhenUsed/>
    <w:qFormat/>
    <w:pPr>
      <w:ind w:left="850"/>
      <w:spacing w:after="57"/>
    </w:pPr>
  </w:style>
  <w:style w:type="paragraph" w:styleId="1139" w:customStyle="1">
    <w:name w:val="副标题1"/>
    <w:basedOn w:val="996"/>
    <w:next w:val="996"/>
    <w:link w:val="1140"/>
    <w:uiPriority w:val="11"/>
    <w:qFormat/>
    <w:pPr>
      <w:spacing w:before="200" w:after="200"/>
    </w:pPr>
    <w:rPr>
      <w:sz w:val="24"/>
      <w:szCs w:val="24"/>
    </w:rPr>
  </w:style>
  <w:style w:type="character" w:styleId="1140" w:customStyle="1">
    <w:name w:val="副标题 Char"/>
    <w:link w:val="1139"/>
    <w:uiPriority w:val="11"/>
    <w:qFormat/>
    <w:rPr>
      <w:sz w:val="24"/>
      <w:szCs w:val="24"/>
    </w:rPr>
  </w:style>
  <w:style w:type="paragraph" w:styleId="1141" w:customStyle="1">
    <w:name w:val="脚注文本12"/>
    <w:basedOn w:val="996"/>
    <w:next w:val="1116"/>
    <w:link w:val="1142"/>
    <w:uiPriority w:val="99"/>
    <w:unhideWhenUsed/>
    <w:qFormat/>
    <w:pPr>
      <w:spacing w:after="40"/>
    </w:pPr>
    <w:rPr>
      <w:sz w:val="18"/>
    </w:rPr>
  </w:style>
  <w:style w:type="character" w:styleId="1142" w:customStyle="1">
    <w:name w:val="脚注文本 Char1"/>
    <w:link w:val="1141"/>
    <w:uiPriority w:val="99"/>
    <w:qFormat/>
    <w:rPr>
      <w:sz w:val="18"/>
    </w:rPr>
  </w:style>
  <w:style w:type="paragraph" w:styleId="1143" w:customStyle="1">
    <w:name w:val="目录 61"/>
    <w:basedOn w:val="996"/>
    <w:next w:val="996"/>
    <w:uiPriority w:val="39"/>
    <w:unhideWhenUsed/>
    <w:qFormat/>
    <w:pPr>
      <w:ind w:left="1417"/>
      <w:spacing w:after="57"/>
    </w:pPr>
  </w:style>
  <w:style w:type="paragraph" w:styleId="1144" w:customStyle="1">
    <w:name w:val="图表目录1"/>
    <w:basedOn w:val="996"/>
    <w:next w:val="996"/>
    <w:uiPriority w:val="99"/>
    <w:unhideWhenUsed/>
    <w:qFormat/>
  </w:style>
  <w:style w:type="paragraph" w:styleId="1145" w:customStyle="1">
    <w:name w:val="目录 21"/>
    <w:basedOn w:val="996"/>
    <w:next w:val="996"/>
    <w:uiPriority w:val="39"/>
    <w:unhideWhenUsed/>
    <w:qFormat/>
    <w:pPr>
      <w:ind w:left="283"/>
      <w:spacing w:after="57"/>
    </w:pPr>
  </w:style>
  <w:style w:type="paragraph" w:styleId="1146" w:customStyle="1">
    <w:name w:val="目录 91"/>
    <w:basedOn w:val="996"/>
    <w:next w:val="996"/>
    <w:uiPriority w:val="39"/>
    <w:unhideWhenUsed/>
    <w:qFormat/>
    <w:pPr>
      <w:ind w:left="2268"/>
      <w:spacing w:after="57"/>
    </w:pPr>
  </w:style>
  <w:style w:type="paragraph" w:styleId="1147" w:customStyle="1">
    <w:name w:val="标题1"/>
    <w:basedOn w:val="996"/>
    <w:next w:val="1126"/>
    <w:link w:val="1148"/>
    <w:uiPriority w:val="10"/>
    <w:qFormat/>
    <w:pPr>
      <w:contextualSpacing/>
      <w:spacing w:before="300" w:after="200"/>
    </w:pPr>
    <w:rPr>
      <w:sz w:val="48"/>
      <w:szCs w:val="48"/>
    </w:rPr>
  </w:style>
  <w:style w:type="character" w:styleId="1148" w:customStyle="1">
    <w:name w:val="标题 Char"/>
    <w:link w:val="1147"/>
    <w:uiPriority w:val="10"/>
    <w:qFormat/>
    <w:rPr>
      <w:sz w:val="48"/>
      <w:szCs w:val="48"/>
    </w:rPr>
  </w:style>
  <w:style w:type="paragraph" w:styleId="1149" w:customStyle="1">
    <w:name w:val="批注主题1"/>
    <w:basedOn w:val="1118"/>
    <w:next w:val="1118"/>
    <w:link w:val="1150"/>
    <w:uiPriority w:val="99"/>
    <w:unhideWhenUsed/>
    <w:qFormat/>
    <w:rPr>
      <w:b/>
      <w:bCs/>
    </w:rPr>
  </w:style>
  <w:style w:type="character" w:styleId="1150" w:customStyle="1">
    <w:name w:val="批注主题 Char"/>
    <w:basedOn w:val="1119"/>
    <w:link w:val="1149"/>
    <w:uiPriority w:val="99"/>
    <w:semiHidden/>
    <w:qFormat/>
    <w:rPr>
      <w:b/>
      <w:bCs/>
      <w:sz w:val="21"/>
      <w:szCs w:val="21"/>
    </w:rPr>
  </w:style>
  <w:style w:type="paragraph" w:styleId="1151" w:customStyle="1">
    <w:name w:val="正文首行缩进 21"/>
    <w:basedOn w:val="1152"/>
    <w:uiPriority w:val="99"/>
    <w:unhideWhenUsed/>
    <w:qFormat/>
    <w:pPr>
      <w:ind w:firstLine="420"/>
    </w:pPr>
  </w:style>
  <w:style w:type="paragraph" w:styleId="1152" w:customStyle="1">
    <w:name w:val="正文文本缩进1"/>
    <w:basedOn w:val="1153"/>
    <w:next w:val="1156"/>
    <w:uiPriority w:val="0"/>
    <w:qFormat/>
    <w:pPr>
      <w:ind w:left="420"/>
      <w:spacing w:after="120"/>
    </w:pPr>
  </w:style>
  <w:style w:type="paragraph" w:styleId="1153" w:customStyle="1">
    <w:name w:val="正文1"/>
    <w:basedOn w:val="1073"/>
    <w:next w:val="1154"/>
    <w:link w:val="1365"/>
    <w:uiPriority w:val="0"/>
    <w:qFormat/>
    <w:pPr>
      <w:widowControl w:val="off"/>
    </w:pPr>
    <w:rPr>
      <w:sz w:val="21"/>
      <w:szCs w:val="24"/>
    </w:rPr>
  </w:style>
  <w:style w:type="paragraph" w:styleId="1154" w:customStyle="1">
    <w:name w:val="脚注文本1"/>
    <w:basedOn w:val="1153"/>
    <w:next w:val="1155"/>
    <w:uiPriority w:val="0"/>
    <w:qFormat/>
    <w:pPr>
      <w:jc w:val="left"/>
    </w:pPr>
    <w:rPr>
      <w:rFonts w:ascii="宋体" w:eastAsia="Times New Roman"/>
      <w:sz w:val="18"/>
      <w:szCs w:val="18"/>
    </w:rPr>
  </w:style>
  <w:style w:type="paragraph" w:styleId="1155" w:customStyle="1">
    <w:name w:val="索引 51"/>
    <w:basedOn w:val="1153"/>
    <w:next w:val="1153"/>
    <w:uiPriority w:val="0"/>
    <w:qFormat/>
    <w:pPr>
      <w:ind w:left="798"/>
      <w:jc w:val="left"/>
    </w:pPr>
    <w:rPr>
      <w:rFonts w:ascii="Calibri" w:hAnsi="Calibri"/>
    </w:rPr>
  </w:style>
  <w:style w:type="paragraph" w:styleId="1156" w:customStyle="1">
    <w:name w:val="寄信人地址1"/>
    <w:basedOn w:val="1075"/>
    <w:uiPriority w:val="0"/>
    <w:qFormat/>
    <w:rPr>
      <w:rFonts w:ascii="Arial" w:hAnsi="Arial"/>
    </w:rPr>
  </w:style>
  <w:style w:type="paragraph" w:styleId="1157" w:customStyle="1">
    <w:name w:val="标题 111"/>
    <w:basedOn w:val="1075"/>
    <w:next w:val="1075"/>
    <w:uiPriority w:val="0"/>
    <w:qFormat/>
    <w:pPr>
      <w:jc w:val="center"/>
      <w:keepLines/>
      <w:keepNext/>
      <w:spacing w:line="578" w:lineRule="auto"/>
      <w:outlineLvl w:val="0"/>
    </w:pPr>
    <w:rPr>
      <w:rFonts w:eastAsia="新宋体"/>
      <w:b/>
      <w:bCs/>
      <w:sz w:val="30"/>
      <w:szCs w:val="44"/>
    </w:rPr>
  </w:style>
  <w:style w:type="table" w:styleId="1158" w:customStyle="1">
    <w:name w:val="网格型11"/>
    <w:uiPriority w:val="59"/>
    <w:qFormat/>
    <w:tblPr>
      <w:tblCellMar>
        <w:left w:w="0" w:type="dxa"/>
        <w:top w:w="0" w:type="dxa"/>
        <w:right w:w="0" w:type="dxa"/>
        <w:bottom w:w="0" w:type="dxa"/>
      </w:tblCellMar>
    </w:tblPr>
  </w:style>
  <w:style w:type="character" w:styleId="1159" w:customStyle="1">
    <w:name w:val="要点1"/>
    <w:basedOn w:val="1103"/>
    <w:uiPriority w:val="22"/>
    <w:qFormat/>
    <w:rPr>
      <w:b/>
    </w:rPr>
  </w:style>
  <w:style w:type="character" w:styleId="1160" w:customStyle="1">
    <w:name w:val="尾注引用1"/>
    <w:uiPriority w:val="99"/>
    <w:unhideWhenUsed/>
    <w:qFormat/>
    <w:rPr>
      <w:vertAlign w:val="superscript"/>
    </w:rPr>
  </w:style>
  <w:style w:type="character" w:styleId="1161" w:customStyle="1">
    <w:name w:val="超链接11"/>
    <w:uiPriority w:val="99"/>
    <w:unhideWhenUsed/>
    <w:qFormat/>
    <w:rPr>
      <w:color w:val="0000ff"/>
      <w:u w:val="single"/>
    </w:rPr>
  </w:style>
  <w:style w:type="character" w:styleId="1162" w:customStyle="1">
    <w:name w:val="批注引用11"/>
    <w:basedOn w:val="1103"/>
    <w:uiPriority w:val="99"/>
    <w:unhideWhenUsed/>
    <w:qFormat/>
    <w:rPr>
      <w:sz w:val="21"/>
      <w:szCs w:val="21"/>
    </w:rPr>
  </w:style>
  <w:style w:type="character" w:styleId="1163" w:customStyle="1">
    <w:name w:val="脚注引用1"/>
    <w:uiPriority w:val="99"/>
    <w:unhideWhenUsed/>
    <w:qFormat/>
    <w:rPr>
      <w:vertAlign w:val="superscript"/>
    </w:rPr>
  </w:style>
  <w:style w:type="character" w:styleId="1164" w:customStyle="1">
    <w:name w:val="标题 1 Char"/>
    <w:link w:val="1165"/>
    <w:uiPriority w:val="0"/>
    <w:qFormat/>
    <w:rPr>
      <w:rFonts w:eastAsia="新宋体"/>
      <w:b/>
      <w:bCs/>
      <w:sz w:val="30"/>
      <w:szCs w:val="44"/>
    </w:rPr>
  </w:style>
  <w:style w:type="paragraph" w:styleId="1165" w:customStyle="1">
    <w:name w:val="标题 11"/>
    <w:basedOn w:val="1036"/>
    <w:next w:val="1036"/>
    <w:link w:val="1164"/>
    <w:uiPriority w:val="0"/>
    <w:qFormat/>
    <w:pPr>
      <w:jc w:val="center"/>
      <w:keepLines/>
      <w:keepNext/>
      <w:spacing w:line="578" w:lineRule="auto"/>
      <w:outlineLvl w:val="0"/>
    </w:pPr>
    <w:rPr>
      <w:rFonts w:eastAsia="新宋体"/>
      <w:b/>
      <w:bCs/>
      <w:sz w:val="30"/>
      <w:szCs w:val="44"/>
    </w:rPr>
  </w:style>
  <w:style w:type="paragraph" w:styleId="1166" w:customStyle="1">
    <w:name w:val="正文文本11"/>
    <w:basedOn w:val="1167"/>
    <w:next w:val="996"/>
    <w:uiPriority w:val="0"/>
    <w:qFormat/>
    <w:pPr>
      <w:spacing w:after="120"/>
    </w:pPr>
  </w:style>
  <w:style w:type="paragraph" w:styleId="1167" w:customStyle="1">
    <w:name w:val="正文112"/>
    <w:next w:val="116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68" w:customStyle="1">
    <w:name w:val="超链接1"/>
    <w:uiPriority w:val="99"/>
    <w:qFormat/>
    <w:rPr>
      <w:rFonts w:cs="Times New Roman"/>
      <w:color w:val="0000ff"/>
      <w:u w:val="single"/>
    </w:rPr>
  </w:style>
  <w:style w:type="character" w:styleId="1169" w:customStyle="1">
    <w:name w:val="NormalCharacter1"/>
    <w:uiPriority w:val="0"/>
    <w:qFormat/>
    <w:rPr>
      <w:lang w:val="en-US" w:eastAsia="zh-CN" w:bidi="ar-SA"/>
    </w:rPr>
  </w:style>
  <w:style w:type="character" w:styleId="1170" w:customStyle="1">
    <w:name w:val="Footer Char"/>
    <w:uiPriority w:val="99"/>
    <w:qFormat/>
  </w:style>
  <w:style w:type="paragraph" w:styleId="1171" w:customStyle="1">
    <w:name w:val="正文文本1"/>
    <w:basedOn w:val="1153"/>
    <w:next w:val="1172"/>
    <w:uiPriority w:val="0"/>
    <w:qFormat/>
    <w:pPr>
      <w:spacing w:after="120"/>
    </w:pPr>
    <w:rPr>
      <w:rFonts w:ascii="Calibri" w:hAnsi="Calibri"/>
    </w:rPr>
  </w:style>
  <w:style w:type="paragraph" w:styleId="1172" w:customStyle="1">
    <w:name w:val="一级条标题"/>
    <w:basedOn w:val="1173"/>
    <w:next w:val="11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3" w:customStyle="1">
    <w:name w:val="章标题"/>
    <w:next w:val="115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74" w:customStyle="1">
    <w:name w:val="段"/>
    <w:basedOn w:val="1175"/>
    <w:next w:val="996"/>
    <w:uiPriority w:val="0"/>
    <w:qFormat/>
    <w:pPr>
      <w:ind w:firstLine="200"/>
    </w:pPr>
    <w:rPr>
      <w:rFonts w:hint="eastAsia" w:ascii="宋体"/>
    </w:rPr>
  </w:style>
  <w:style w:type="paragraph" w:styleId="1175" w:customStyle="1">
    <w:name w:val="正文13"/>
    <w:next w:val="11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目录 111"/>
    <w:basedOn w:val="1175"/>
    <w:next w:val="996"/>
    <w:uiPriority w:val="0"/>
    <w:qFormat/>
    <w:pPr>
      <w:spacing w:after="57"/>
    </w:pPr>
  </w:style>
  <w:style w:type="character" w:styleId="1177" w:customStyle="1">
    <w:name w:val="NormalCharacter11"/>
    <w:link w:val="1075"/>
    <w:uiPriority w:val="0"/>
    <w:qFormat/>
    <w:rPr>
      <w:rFonts w:ascii="Times New Roman" w:hAnsi="Times New Roman" w:eastAsia="宋体" w:cs="Times New Roman"/>
      <w:sz w:val="21"/>
      <w:szCs w:val="24"/>
      <w:lang w:val="en-US" w:eastAsia="zh-CN" w:bidi="ar-SA"/>
    </w:rPr>
  </w:style>
  <w:style w:type="paragraph" w:styleId="1178" w:customStyle="1">
    <w:name w:val="目录 11"/>
    <w:basedOn w:val="1036"/>
    <w:next w:val="1075"/>
    <w:uiPriority w:val="0"/>
    <w:qFormat/>
  </w:style>
  <w:style w:type="character" w:styleId="1179" w:customStyle="1">
    <w:name w:val="font51"/>
    <w:basedOn w:val="1103"/>
    <w:link w:val="1073"/>
    <w:uiPriority w:val="0"/>
    <w:qFormat/>
    <w:rPr>
      <w:rFonts w:ascii="Calibri" w:hAnsi="Calibri" w:cs="Calibri"/>
      <w:color w:val="000000"/>
      <w:sz w:val="22"/>
      <w:szCs w:val="22"/>
      <w:u w:val="none"/>
    </w:rPr>
  </w:style>
  <w:style w:type="character" w:styleId="1180" w:customStyle="1">
    <w:name w:val="font101"/>
    <w:basedOn w:val="1181"/>
    <w:uiPriority w:val="0"/>
    <w:qFormat/>
    <w:rPr>
      <w:rFonts w:hint="eastAsia" w:ascii="宋体" w:hAnsi="宋体" w:eastAsia="宋体" w:cs="宋体"/>
      <w:color w:val="ff0000"/>
      <w:sz w:val="20"/>
      <w:szCs w:val="20"/>
      <w:u w:val="none"/>
    </w:rPr>
  </w:style>
  <w:style w:type="character" w:styleId="1181" w:customStyle="1">
    <w:name w:val="默认段落字体1"/>
    <w:uiPriority w:val="1"/>
    <w:unhideWhenUsed/>
    <w:qFormat/>
  </w:style>
  <w:style w:type="character" w:styleId="1182" w:customStyle="1">
    <w:name w:val="font81"/>
    <w:basedOn w:val="1181"/>
    <w:uiPriority w:val="0"/>
    <w:qFormat/>
    <w:rPr>
      <w:rFonts w:hint="eastAsia" w:ascii="宋体" w:hAnsi="宋体" w:eastAsia="宋体" w:cs="宋体"/>
      <w:color w:val="ff0000"/>
      <w:sz w:val="20"/>
      <w:szCs w:val="20"/>
      <w:u w:val="none"/>
    </w:rPr>
  </w:style>
  <w:style w:type="character" w:styleId="1183" w:customStyle="1">
    <w:name w:val="批注引用1"/>
    <w:basedOn w:val="1181"/>
    <w:uiPriority w:val="0"/>
    <w:qFormat/>
    <w:rPr>
      <w:sz w:val="21"/>
      <w:szCs w:val="21"/>
    </w:rPr>
  </w:style>
  <w:style w:type="character" w:styleId="1184" w:customStyle="1">
    <w:name w:val="font112"/>
    <w:basedOn w:val="1181"/>
    <w:uiPriority w:val="0"/>
    <w:qFormat/>
    <w:rPr>
      <w:rFonts w:hint="eastAsia" w:ascii="宋体" w:hAnsi="宋体" w:eastAsia="宋体" w:cs="宋体"/>
      <w:color w:val="000000"/>
      <w:sz w:val="20"/>
      <w:szCs w:val="20"/>
      <w:u w:val="none"/>
    </w:rPr>
  </w:style>
  <w:style w:type="character" w:styleId="1185" w:customStyle="1">
    <w:name w:val="正文文本 Char"/>
    <w:basedOn w:val="1181"/>
    <w:link w:val="1186"/>
    <w:uiPriority w:val="0"/>
    <w:qFormat/>
    <w:rPr>
      <w:rFonts w:ascii="Verdana" w:hAnsi="Verdana"/>
      <w:sz w:val="24"/>
      <w:szCs w:val="18"/>
    </w:rPr>
  </w:style>
  <w:style w:type="paragraph" w:styleId="1186" w:customStyle="1">
    <w:name w:val="正文文本111"/>
    <w:basedOn w:val="996"/>
    <w:next w:val="1172"/>
    <w:link w:val="1185"/>
    <w:uiPriority w:val="0"/>
    <w:qFormat/>
    <w:rPr>
      <w:rFonts w:ascii="Verdana" w:hAnsi="Verdana"/>
      <w:sz w:val="24"/>
      <w:szCs w:val="18"/>
    </w:rPr>
  </w:style>
  <w:style w:type="character" w:styleId="1187" w:customStyle="1">
    <w:name w:val="font21"/>
    <w:basedOn w:val="1181"/>
    <w:uiPriority w:val="0"/>
    <w:qFormat/>
    <w:rPr>
      <w:rFonts w:hint="eastAsia" w:ascii="宋体" w:hAnsi="宋体" w:eastAsia="宋体" w:cs="宋体"/>
      <w:color w:val="000000"/>
      <w:sz w:val="20"/>
      <w:szCs w:val="20"/>
      <w:u w:val="none"/>
    </w:rPr>
  </w:style>
  <w:style w:type="character" w:styleId="1188" w:customStyle="1">
    <w:name w:val="引用 字符"/>
    <w:link w:val="1189"/>
    <w:uiPriority w:val="29"/>
    <w:qFormat/>
    <w:rPr>
      <w:i/>
    </w:rPr>
  </w:style>
  <w:style w:type="paragraph" w:styleId="1189">
    <w:name w:val="Quote"/>
    <w:basedOn w:val="996"/>
    <w:next w:val="996"/>
    <w:link w:val="1188"/>
    <w:uiPriority w:val="29"/>
    <w:qFormat/>
    <w:pPr>
      <w:ind w:left="720" w:right="720"/>
    </w:pPr>
    <w:rPr>
      <w:i/>
    </w:rPr>
  </w:style>
  <w:style w:type="character" w:styleId="1190" w:customStyle="1">
    <w:name w:val="明显引用 字符"/>
    <w:link w:val="1191"/>
    <w:uiPriority w:val="30"/>
    <w:qFormat/>
    <w:rPr>
      <w:i/>
    </w:rPr>
  </w:style>
  <w:style w:type="paragraph" w:styleId="1191">
    <w:name w:val="Intense Quote"/>
    <w:basedOn w:val="996"/>
    <w:next w:val="996"/>
    <w:link w:val="11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2" w:customStyle="1">
    <w:name w:val="批注框文本 Char"/>
    <w:basedOn w:val="1181"/>
    <w:link w:val="1193"/>
    <w:uiPriority w:val="0"/>
    <w:qFormat/>
    <w:rPr>
      <w:rFonts w:ascii="Calibri" w:hAnsi="Calibri" w:eastAsia="宋体" w:cs="Times New Roman"/>
      <w:sz w:val="18"/>
      <w:szCs w:val="18"/>
    </w:rPr>
  </w:style>
  <w:style w:type="paragraph" w:styleId="1193" w:customStyle="1">
    <w:name w:val="批注框文本1"/>
    <w:basedOn w:val="996"/>
    <w:link w:val="1192"/>
    <w:uiPriority w:val="0"/>
    <w:qFormat/>
    <w:rPr>
      <w:sz w:val="18"/>
      <w:szCs w:val="18"/>
    </w:rPr>
  </w:style>
  <w:style w:type="character" w:styleId="1194" w:customStyle="1">
    <w:name w:val="脚注文本 Char"/>
    <w:basedOn w:val="1181"/>
    <w:link w:val="1195"/>
    <w:uiPriority w:val="0"/>
    <w:qFormat/>
    <w:rPr>
      <w:rFonts w:ascii="宋体" w:hAnsi="Calibri" w:eastAsia="Times New Roman"/>
      <w:sz w:val="18"/>
      <w:szCs w:val="18"/>
    </w:rPr>
  </w:style>
  <w:style w:type="paragraph" w:styleId="1195" w:customStyle="1">
    <w:name w:val="脚注文本11"/>
    <w:basedOn w:val="996"/>
    <w:next w:val="1196"/>
    <w:link w:val="1194"/>
    <w:uiPriority w:val="0"/>
    <w:qFormat/>
    <w:pPr>
      <w:jc w:val="left"/>
    </w:pPr>
    <w:rPr>
      <w:rFonts w:ascii="宋体" w:eastAsia="Times New Roman"/>
      <w:sz w:val="18"/>
      <w:szCs w:val="18"/>
    </w:rPr>
  </w:style>
  <w:style w:type="paragraph" w:styleId="1196" w:customStyle="1">
    <w:name w:val="索引 511"/>
    <w:basedOn w:val="996"/>
    <w:next w:val="996"/>
    <w:uiPriority w:val="0"/>
    <w:qFormat/>
    <w:pPr>
      <w:ind w:left="798"/>
      <w:jc w:val="left"/>
    </w:pPr>
  </w:style>
  <w:style w:type="character" w:styleId="1197" w:customStyle="1">
    <w:name w:val="页码1"/>
    <w:basedOn w:val="1181"/>
    <w:uiPriority w:val="0"/>
    <w:qFormat/>
  </w:style>
  <w:style w:type="character" w:styleId="1198" w:customStyle="1">
    <w:name w:val="font71"/>
    <w:basedOn w:val="1181"/>
    <w:uiPriority w:val="0"/>
    <w:qFormat/>
    <w:rPr>
      <w:rFonts w:hint="eastAsia" w:ascii="宋体" w:hAnsi="宋体" w:eastAsia="宋体" w:cs="宋体"/>
      <w:color w:val="000000"/>
      <w:sz w:val="20"/>
      <w:szCs w:val="20"/>
      <w:u w:val="none"/>
    </w:rPr>
  </w:style>
  <w:style w:type="character" w:styleId="1199" w:customStyle="1">
    <w:name w:val="font01"/>
    <w:basedOn w:val="1103"/>
    <w:uiPriority w:val="0"/>
    <w:qFormat/>
    <w:rPr>
      <w:rFonts w:hint="eastAsia" w:ascii="宋体" w:hAnsi="宋体" w:eastAsia="宋体" w:cs="宋体"/>
      <w:color w:val="000000"/>
      <w:sz w:val="21"/>
      <w:szCs w:val="21"/>
      <w:u w:val="none"/>
    </w:rPr>
  </w:style>
  <w:style w:type="character" w:styleId="1200" w:customStyle="1">
    <w:name w:val="font91"/>
    <w:basedOn w:val="1181"/>
    <w:uiPriority w:val="0"/>
    <w:qFormat/>
    <w:rPr>
      <w:rFonts w:hint="eastAsia" w:ascii="宋体" w:hAnsi="宋体" w:eastAsia="宋体" w:cs="宋体"/>
      <w:color w:val="000000"/>
      <w:sz w:val="20"/>
      <w:szCs w:val="20"/>
      <w:u w:val="none"/>
    </w:rPr>
  </w:style>
  <w:style w:type="character" w:styleId="1201" w:customStyle="1">
    <w:name w:val="font61"/>
    <w:basedOn w:val="1103"/>
    <w:uiPriority w:val="0"/>
    <w:qFormat/>
    <w:rPr>
      <w:rFonts w:ascii="Calibri" w:hAnsi="Calibri" w:cs="Calibri"/>
      <w:color w:val="000000"/>
      <w:sz w:val="24"/>
      <w:szCs w:val="24"/>
      <w:u w:val="none"/>
    </w:rPr>
  </w:style>
  <w:style w:type="character" w:styleId="1202" w:customStyle="1">
    <w:name w:val="font11"/>
    <w:basedOn w:val="1103"/>
    <w:uiPriority w:val="0"/>
    <w:qFormat/>
    <w:rPr>
      <w:rFonts w:hint="eastAsia" w:ascii="宋体" w:hAnsi="宋体" w:eastAsia="宋体" w:cs="宋体"/>
      <w:color w:val="000000"/>
      <w:sz w:val="22"/>
      <w:szCs w:val="22"/>
      <w:u w:val="none"/>
    </w:rPr>
  </w:style>
  <w:style w:type="character" w:styleId="1203" w:customStyle="1">
    <w:name w:val="font41"/>
    <w:basedOn w:val="1103"/>
    <w:uiPriority w:val="0"/>
    <w:qFormat/>
    <w:rPr>
      <w:rFonts w:ascii="Calibri" w:hAnsi="Calibri" w:cs="Calibri"/>
      <w:color w:val="000000"/>
      <w:sz w:val="28"/>
      <w:szCs w:val="28"/>
      <w:u w:val="none"/>
    </w:rPr>
  </w:style>
  <w:style w:type="paragraph" w:styleId="1204" w:customStyle="1">
    <w:name w:val="标题 31"/>
    <w:basedOn w:val="996"/>
    <w:next w:val="996"/>
    <w:uiPriority w:val="0"/>
    <w:qFormat/>
    <w:pPr>
      <w:jc w:val="left"/>
      <w:spacing w:beforeAutospacing="1" w:afterAutospacing="1"/>
      <w:outlineLvl w:val="2"/>
    </w:pPr>
    <w:rPr>
      <w:rFonts w:hint="eastAsia" w:ascii="宋体" w:hAnsi="宋体"/>
      <w:b/>
      <w:bCs/>
      <w:sz w:val="27"/>
      <w:szCs w:val="27"/>
    </w:rPr>
  </w:style>
  <w:style w:type="paragraph" w:styleId="1205">
    <w:name w:val="List Paragraph"/>
    <w:basedOn w:val="996"/>
    <w:uiPriority w:val="34"/>
    <w:qFormat/>
    <w:pPr>
      <w:contextualSpacing/>
      <w:ind w:left="720"/>
    </w:pPr>
  </w:style>
  <w:style w:type="paragraph" w:styleId="1206" w:customStyle="1">
    <w:name w:val="批注文字1"/>
    <w:basedOn w:val="996"/>
    <w:uiPriority w:val="0"/>
    <w:qFormat/>
    <w:pPr>
      <w:jc w:val="left"/>
    </w:pPr>
  </w:style>
  <w:style w:type="paragraph" w:styleId="1207" w:customStyle="1">
    <w:name w:val="文本块111"/>
    <w:basedOn w:val="996"/>
    <w:uiPriority w:val="0"/>
    <w:qFormat/>
    <w:pPr>
      <w:ind w:left="256" w:right="6" w:firstLine="624"/>
    </w:pPr>
    <w:rPr>
      <w:rFonts w:eastAsia="仿宋_GB2312"/>
      <w:sz w:val="28"/>
      <w:szCs w:val="20"/>
    </w:rPr>
  </w:style>
  <w:style w:type="paragraph" w:styleId="1208" w:customStyle="1">
    <w:name w:val="正文缩进1"/>
    <w:basedOn w:val="996"/>
    <w:uiPriority w:val="99"/>
    <w:qFormat/>
    <w:pPr>
      <w:ind w:firstLine="420"/>
    </w:pPr>
  </w:style>
  <w:style w:type="paragraph" w:styleId="1209" w:customStyle="1">
    <w:name w:val="TOC 标题11"/>
    <w:uiPriority w:val="39"/>
    <w:unhideWhenUsed/>
    <w:qFormat/>
    <w:rPr>
      <w:rFonts w:hint="default" w:ascii="Times New Roman" w:hAnsi="Times New Roman" w:eastAsia="宋体" w:cs="Times New Roman"/>
      <w:lang w:val="en-US" w:eastAsia="zh-CN" w:bidi="ar-SA"/>
    </w:rPr>
  </w:style>
  <w:style w:type="paragraph" w:styleId="1210" w:customStyle="1">
    <w:name w:val="列出段落1"/>
    <w:basedOn w:val="1153"/>
    <w:uiPriority w:val="0"/>
    <w:qFormat/>
    <w:pPr>
      <w:ind w:firstLine="420"/>
    </w:pPr>
    <w:rPr>
      <w:rFonts w:ascii="Calibri" w:hAnsi="Calibri"/>
    </w:rPr>
  </w:style>
  <w:style w:type="paragraph" w:styleId="1211">
    <w:name w:val="No Spacing"/>
    <w:uiPriority w:val="1"/>
    <w:qFormat/>
    <w:rPr>
      <w:rFonts w:hint="default" w:ascii="Times New Roman" w:hAnsi="Times New Roman" w:eastAsia="宋体" w:cs="Times New Roman"/>
      <w:lang w:val="en-US" w:eastAsia="zh-CN" w:bidi="ar-SA"/>
    </w:rPr>
  </w:style>
  <w:style w:type="paragraph" w:styleId="1212" w:customStyle="1">
    <w:name w:val="标题 41"/>
    <w:basedOn w:val="1075"/>
    <w:next w:val="1075"/>
    <w:uiPriority w:val="0"/>
    <w:qFormat/>
    <w:pPr>
      <w:keepLines/>
      <w:keepNext/>
      <w:spacing w:line="360" w:lineRule="auto"/>
      <w:outlineLvl w:val="3"/>
    </w:pPr>
    <w:rPr>
      <w:rFonts w:ascii="Arial" w:hAnsi="Arial"/>
      <w:b/>
      <w:bCs/>
      <w:sz w:val="21"/>
      <w:szCs w:val="28"/>
    </w:rPr>
  </w:style>
  <w:style w:type="paragraph" w:styleId="1213" w:customStyle="1">
    <w:name w:val="正文文本缩进11"/>
    <w:basedOn w:val="1075"/>
    <w:next w:val="1167"/>
    <w:uiPriority w:val="0"/>
    <w:qFormat/>
    <w:pPr>
      <w:ind w:left="420"/>
      <w:spacing w:after="120"/>
    </w:pPr>
  </w:style>
  <w:style w:type="paragraph" w:styleId="1214" w:customStyle="1">
    <w:name w:val="正文首行缩进1"/>
    <w:basedOn w:val="1166"/>
    <w:next w:val="1215"/>
    <w:uiPriority w:val="0"/>
    <w:qFormat/>
    <w:pPr>
      <w:ind w:firstLine="420"/>
    </w:pPr>
  </w:style>
  <w:style w:type="paragraph" w:styleId="1215" w:customStyle="1">
    <w:name w:val="正文首行缩进 211"/>
    <w:basedOn w:val="1213"/>
    <w:next w:val="1167"/>
    <w:uiPriority w:val="99"/>
    <w:qFormat/>
    <w:pPr>
      <w:ind w:left="0" w:firstLine="420"/>
      <w:spacing w:after="0" w:line="360" w:lineRule="auto"/>
    </w:pPr>
    <w:rPr>
      <w:rFonts w:ascii="宋体" w:hAnsi="宋体"/>
    </w:rPr>
  </w:style>
  <w:style w:type="paragraph" w:styleId="1216" w:customStyle="1">
    <w:name w:val="纯文本1"/>
    <w:basedOn w:val="1217"/>
    <w:uiPriority w:val="0"/>
    <w:qFormat/>
    <w:rPr>
      <w:rFonts w:ascii="宋体" w:hAnsi="Courier New"/>
    </w:rPr>
  </w:style>
  <w:style w:type="paragraph" w:styleId="1217" w:customStyle="1">
    <w:name w:val="正文121"/>
    <w:next w:val="1218"/>
    <w:uiPriority w:val="0"/>
    <w:qFormat/>
    <w:pPr>
      <w:jc w:val="both"/>
      <w:widowControl w:val="off"/>
    </w:pPr>
    <w:rPr>
      <w:rFonts w:hint="default" w:ascii="Calibri" w:hAnsi="Calibri" w:eastAsia="宋体" w:cs="Times New Roman"/>
      <w:sz w:val="21"/>
      <w:szCs w:val="24"/>
      <w:lang w:val="en-US" w:eastAsia="zh-CN" w:bidi="ar-SA"/>
    </w:rPr>
  </w:style>
  <w:style w:type="paragraph" w:styleId="1218" w:customStyle="1">
    <w:name w:val="BlockQuote1"/>
    <w:basedOn w:val="1075"/>
    <w:uiPriority w:val="0"/>
    <w:qFormat/>
    <w:pPr>
      <w:ind w:left="256" w:right="6" w:firstLine="624"/>
    </w:pPr>
    <w:rPr>
      <w:rFonts w:eastAsia="仿宋_GB2312"/>
      <w:sz w:val="28"/>
    </w:rPr>
  </w:style>
  <w:style w:type="paragraph" w:styleId="1219"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1220" w:customStyle="1">
    <w:name w:val="日期1"/>
    <w:basedOn w:val="996"/>
    <w:next w:val="996"/>
    <w:uiPriority w:val="0"/>
    <w:qFormat/>
    <w:rPr>
      <w:rFonts w:eastAsia="仿宋_GB2312"/>
      <w:sz w:val="28"/>
      <w:szCs w:val="20"/>
    </w:rPr>
  </w:style>
  <w:style w:type="paragraph" w:styleId="1221" w:customStyle="1">
    <w:name w:val="页脚1"/>
    <w:basedOn w:val="996"/>
    <w:uiPriority w:val="0"/>
    <w:qFormat/>
    <w:pPr>
      <w:jc w:val="left"/>
      <w:tabs>
        <w:tab w:val="center" w:pos="4153" w:leader="none"/>
        <w:tab w:val="right" w:pos="8306" w:leader="none"/>
      </w:tabs>
    </w:pPr>
    <w:rPr>
      <w:sz w:val="18"/>
    </w:rPr>
  </w:style>
  <w:style w:type="paragraph" w:styleId="1222" w:customStyle="1">
    <w:name w:val="页眉1"/>
    <w:basedOn w:val="996"/>
    <w:uiPriority w:val="0"/>
    <w:qFormat/>
    <w:pPr>
      <w:jc w:val="center"/>
      <w:tabs>
        <w:tab w:val="center" w:pos="4153" w:leader="none"/>
        <w:tab w:val="right" w:pos="8306" w:leader="none"/>
      </w:tabs>
      <w:pBdr>
        <w:bottom w:val="single" w:color="000000" w:sz="6" w:space="1"/>
      </w:pBdr>
    </w:pPr>
    <w:rPr>
      <w:sz w:val="18"/>
      <w:szCs w:val="18"/>
    </w:rPr>
  </w:style>
  <w:style w:type="paragraph" w:styleId="1223" w:customStyle="1">
    <w:name w:val="普通(网站)1"/>
    <w:basedOn w:val="996"/>
    <w:uiPriority w:val="0"/>
    <w:qFormat/>
    <w:pPr>
      <w:jc w:val="left"/>
      <w:spacing w:beforeAutospacing="1" w:afterAutospacing="1"/>
    </w:pPr>
    <w:rPr>
      <w:sz w:val="24"/>
    </w:rPr>
  </w:style>
  <w:style w:type="paragraph" w:styleId="1224" w:customStyle="1">
    <w:name w:val="BlockQuote11"/>
    <w:basedOn w:val="996"/>
    <w:uiPriority w:val="0"/>
    <w:qFormat/>
    <w:pPr>
      <w:ind w:left="256" w:right="6" w:firstLine="624"/>
    </w:pPr>
    <w:rPr>
      <w:rFonts w:eastAsia="仿宋_GB2312"/>
      <w:sz w:val="28"/>
    </w:rPr>
  </w:style>
  <w:style w:type="paragraph" w:styleId="1225" w:customStyle="1">
    <w:name w:val="Default"/>
    <w:next w:val="996"/>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26" w:customStyle="1">
    <w:name w:val="首行缩进"/>
    <w:basedOn w:val="996"/>
    <w:uiPriority w:val="0"/>
    <w:qFormat/>
    <w:pPr>
      <w:ind w:firstLine="420"/>
      <w:spacing w:line="360" w:lineRule="auto"/>
    </w:pPr>
  </w:style>
  <w:style w:type="paragraph" w:styleId="1227" w:customStyle="1">
    <w:name w:val="Heading21"/>
    <w:basedOn w:val="996"/>
    <w:next w:val="996"/>
    <w:uiPriority w:val="0"/>
    <w:qFormat/>
    <w:pPr>
      <w:keepLines/>
      <w:keepNext/>
    </w:pPr>
    <w:rPr>
      <w:rFonts w:ascii="Arial" w:hAnsi="Arial"/>
      <w:sz w:val="28"/>
    </w:rPr>
  </w:style>
  <w:style w:type="paragraph" w:styleId="1228" w:customStyle="1">
    <w:name w:val="标准"/>
    <w:basedOn w:val="996"/>
    <w:uiPriority w:val="0"/>
    <w:qFormat/>
    <w:pPr>
      <w:ind w:firstLine="200"/>
      <w:spacing w:line="360" w:lineRule="auto"/>
    </w:pPr>
    <w:rPr>
      <w:rFonts w:cs="宋体"/>
      <w:szCs w:val="20"/>
    </w:rPr>
  </w:style>
  <w:style w:type="paragraph" w:styleId="1229" w:customStyle="1">
    <w:name w:val="列出段落2"/>
    <w:basedOn w:val="996"/>
    <w:uiPriority w:val="34"/>
    <w:qFormat/>
    <w:pPr>
      <w:ind w:firstLine="420"/>
    </w:pPr>
  </w:style>
  <w:style w:type="paragraph" w:styleId="1230" w:customStyle="1">
    <w:name w:val="正文（缩进）"/>
    <w:basedOn w:val="996"/>
    <w:uiPriority w:val="0"/>
    <w:qFormat/>
    <w:pPr>
      <w:ind w:firstLine="480"/>
      <w:spacing w:line="360" w:lineRule="auto"/>
    </w:pPr>
    <w:rPr>
      <w:sz w:val="24"/>
    </w:rPr>
  </w:style>
  <w:style w:type="paragraph" w:styleId="1231" w:customStyle="1">
    <w:name w:val="Table Paragraph"/>
    <w:basedOn w:val="1075"/>
    <w:uiPriority w:val="0"/>
    <w:qFormat/>
    <w:pPr>
      <w:jc w:val="left"/>
      <w:widowControl w:val="off"/>
    </w:pPr>
    <w:rPr>
      <w:rFonts w:ascii="仿宋" w:hAnsi="仿宋" w:eastAsia="仿宋"/>
      <w:sz w:val="22"/>
      <w:szCs w:val="22"/>
    </w:rPr>
  </w:style>
  <w:style w:type="paragraph" w:styleId="1232" w:customStyle="1">
    <w:name w:val="p0"/>
    <w:basedOn w:val="996"/>
    <w:uiPriority w:val="0"/>
    <w:qFormat/>
  </w:style>
  <w:style w:type="paragraph" w:styleId="1233"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234" w:customStyle="1">
    <w:name w:val="WPSOffice手动目录 1"/>
    <w:uiPriority w:val="0"/>
    <w:qFormat/>
    <w:rPr>
      <w:rFonts w:hint="default" w:ascii="Times New Roman" w:hAnsi="Times New Roman" w:eastAsia="宋体" w:cs="Times New Roman"/>
      <w:lang w:val="en-US" w:eastAsia="zh-CN" w:bidi="ar-SA"/>
    </w:rPr>
  </w:style>
  <w:style w:type="paragraph" w:styleId="1235" w:customStyle="1">
    <w:name w:val="目录 1111"/>
    <w:basedOn w:val="996"/>
    <w:next w:val="996"/>
    <w:uiPriority w:val="39"/>
    <w:unhideWhenUsed/>
    <w:qFormat/>
    <w:pPr>
      <w:jc w:val="left"/>
      <w:spacing w:after="100" w:line="259" w:lineRule="auto"/>
      <w:widowControl/>
    </w:pPr>
    <w:rPr>
      <w:rFonts w:ascii="Calibri" w:hAnsi="Calibri"/>
      <w:sz w:val="22"/>
      <w:szCs w:val="22"/>
    </w:rPr>
  </w:style>
  <w:style w:type="table" w:styleId="1236" w:customStyle="1">
    <w:name w:val="Table Grid Light"/>
    <w:uiPriority w:val="59"/>
    <w:qFormat/>
    <w:tblPr>
      <w:tblCellMar>
        <w:left w:w="0" w:type="dxa"/>
        <w:top w:w="0" w:type="dxa"/>
        <w:right w:w="0" w:type="dxa"/>
        <w:bottom w:w="0" w:type="dxa"/>
      </w:tblCellMar>
    </w:tblPr>
  </w:style>
  <w:style w:type="table" w:styleId="1237" w:customStyle="1">
    <w:name w:val="无格式表格 11"/>
    <w:uiPriority w:val="59"/>
    <w:qFormat/>
    <w:tblPr>
      <w:tblCellMar>
        <w:left w:w="0" w:type="dxa"/>
        <w:top w:w="0" w:type="dxa"/>
        <w:right w:w="0" w:type="dxa"/>
        <w:bottom w:w="0" w:type="dxa"/>
      </w:tblCellMar>
    </w:tblPr>
  </w:style>
  <w:style w:type="table" w:styleId="1238" w:customStyle="1">
    <w:name w:val="无格式表格 21"/>
    <w:uiPriority w:val="59"/>
    <w:qFormat/>
    <w:tblPr>
      <w:tblCellMar>
        <w:left w:w="0" w:type="dxa"/>
        <w:top w:w="0" w:type="dxa"/>
        <w:right w:w="0" w:type="dxa"/>
        <w:bottom w:w="0" w:type="dxa"/>
      </w:tblCellMar>
    </w:tblPr>
  </w:style>
  <w:style w:type="table" w:styleId="1239" w:customStyle="1">
    <w:name w:val="无格式表格 31"/>
    <w:uiPriority w:val="99"/>
    <w:qFormat/>
    <w:tblPr>
      <w:tblCellMar>
        <w:left w:w="0" w:type="dxa"/>
        <w:top w:w="0" w:type="dxa"/>
        <w:right w:w="0" w:type="dxa"/>
        <w:bottom w:w="0" w:type="dxa"/>
      </w:tblCellMar>
    </w:tblPr>
  </w:style>
  <w:style w:type="table" w:styleId="1240" w:customStyle="1">
    <w:name w:val="无格式表格 41"/>
    <w:uiPriority w:val="99"/>
    <w:qFormat/>
    <w:tblPr>
      <w:tblCellMar>
        <w:left w:w="0" w:type="dxa"/>
        <w:top w:w="0" w:type="dxa"/>
        <w:right w:w="0" w:type="dxa"/>
        <w:bottom w:w="0" w:type="dxa"/>
      </w:tblCellMar>
    </w:tblPr>
  </w:style>
  <w:style w:type="table" w:styleId="1241" w:customStyle="1">
    <w:name w:val="无格式表格 51"/>
    <w:uiPriority w:val="99"/>
    <w:qFormat/>
    <w:tblPr>
      <w:tblCellMar>
        <w:left w:w="0" w:type="dxa"/>
        <w:top w:w="0" w:type="dxa"/>
        <w:right w:w="0" w:type="dxa"/>
        <w:bottom w:w="0" w:type="dxa"/>
      </w:tblCellMar>
    </w:tblPr>
  </w:style>
  <w:style w:type="table" w:styleId="1242" w:customStyle="1">
    <w:name w:val="网格表 1 浅色1"/>
    <w:uiPriority w:val="99"/>
    <w:qFormat/>
    <w:tblPr>
      <w:tblCellMar>
        <w:left w:w="0" w:type="dxa"/>
        <w:top w:w="0" w:type="dxa"/>
        <w:right w:w="0" w:type="dxa"/>
        <w:bottom w:w="0" w:type="dxa"/>
      </w:tblCellMar>
    </w:tblPr>
  </w:style>
  <w:style w:type="table" w:styleId="1243" w:customStyle="1">
    <w:name w:val="Grid Table 1 Light - Accent 1"/>
    <w:uiPriority w:val="99"/>
    <w:qFormat/>
    <w:tblPr>
      <w:tblCellMar>
        <w:left w:w="0" w:type="dxa"/>
        <w:top w:w="0" w:type="dxa"/>
        <w:right w:w="0" w:type="dxa"/>
        <w:bottom w:w="0" w:type="dxa"/>
      </w:tblCellMar>
    </w:tblPr>
  </w:style>
  <w:style w:type="table" w:styleId="1244" w:customStyle="1">
    <w:name w:val="Grid Table 1 Light - Accent 2"/>
    <w:uiPriority w:val="99"/>
    <w:qFormat/>
    <w:tblPr>
      <w:tblCellMar>
        <w:left w:w="0" w:type="dxa"/>
        <w:top w:w="0" w:type="dxa"/>
        <w:right w:w="0" w:type="dxa"/>
        <w:bottom w:w="0" w:type="dxa"/>
      </w:tblCellMar>
    </w:tblPr>
  </w:style>
  <w:style w:type="table" w:styleId="1245" w:customStyle="1">
    <w:name w:val="Grid Table 1 Light - Accent 3"/>
    <w:uiPriority w:val="99"/>
    <w:qFormat/>
    <w:tblPr>
      <w:tblCellMar>
        <w:left w:w="0" w:type="dxa"/>
        <w:top w:w="0" w:type="dxa"/>
        <w:right w:w="0" w:type="dxa"/>
        <w:bottom w:w="0" w:type="dxa"/>
      </w:tblCellMar>
    </w:tblPr>
  </w:style>
  <w:style w:type="table" w:styleId="1246" w:customStyle="1">
    <w:name w:val="Grid Table 1 Light - Accent 4"/>
    <w:uiPriority w:val="99"/>
    <w:qFormat/>
    <w:tblPr>
      <w:tblCellMar>
        <w:left w:w="0" w:type="dxa"/>
        <w:top w:w="0" w:type="dxa"/>
        <w:right w:w="0" w:type="dxa"/>
        <w:bottom w:w="0" w:type="dxa"/>
      </w:tblCellMar>
    </w:tblPr>
  </w:style>
  <w:style w:type="table" w:styleId="1247" w:customStyle="1">
    <w:name w:val="Grid Table 1 Light - Accent 5"/>
    <w:uiPriority w:val="99"/>
    <w:qFormat/>
    <w:tblPr>
      <w:tblCellMar>
        <w:left w:w="0" w:type="dxa"/>
        <w:top w:w="0" w:type="dxa"/>
        <w:right w:w="0" w:type="dxa"/>
        <w:bottom w:w="0" w:type="dxa"/>
      </w:tblCellMar>
    </w:tblPr>
  </w:style>
  <w:style w:type="table" w:styleId="1248" w:customStyle="1">
    <w:name w:val="Grid Table 1 Light - Accent 6"/>
    <w:uiPriority w:val="99"/>
    <w:qFormat/>
    <w:tblPr>
      <w:tblCellMar>
        <w:left w:w="0" w:type="dxa"/>
        <w:top w:w="0" w:type="dxa"/>
        <w:right w:w="0" w:type="dxa"/>
        <w:bottom w:w="0" w:type="dxa"/>
      </w:tblCellMar>
    </w:tblPr>
  </w:style>
  <w:style w:type="table" w:styleId="1249" w:customStyle="1">
    <w:name w:val="网格表 21"/>
    <w:uiPriority w:val="99"/>
    <w:qFormat/>
    <w:tblPr>
      <w:tblCellMar>
        <w:left w:w="0" w:type="dxa"/>
        <w:top w:w="0" w:type="dxa"/>
        <w:right w:w="0" w:type="dxa"/>
        <w:bottom w:w="0" w:type="dxa"/>
      </w:tblCellMar>
    </w:tblPr>
  </w:style>
  <w:style w:type="table" w:styleId="1250" w:customStyle="1">
    <w:name w:val="Grid Table 2 - Accent 1"/>
    <w:uiPriority w:val="99"/>
    <w:qFormat/>
    <w:tblPr>
      <w:tblCellMar>
        <w:left w:w="0" w:type="dxa"/>
        <w:top w:w="0" w:type="dxa"/>
        <w:right w:w="0" w:type="dxa"/>
        <w:bottom w:w="0" w:type="dxa"/>
      </w:tblCellMar>
    </w:tblPr>
  </w:style>
  <w:style w:type="table" w:styleId="1251" w:customStyle="1">
    <w:name w:val="Grid Table 2 - Accent 2"/>
    <w:uiPriority w:val="99"/>
    <w:qFormat/>
    <w:tblPr>
      <w:tblCellMar>
        <w:left w:w="0" w:type="dxa"/>
        <w:top w:w="0" w:type="dxa"/>
        <w:right w:w="0" w:type="dxa"/>
        <w:bottom w:w="0" w:type="dxa"/>
      </w:tblCellMar>
    </w:tblPr>
  </w:style>
  <w:style w:type="table" w:styleId="1252" w:customStyle="1">
    <w:name w:val="Grid Table 2 - Accent 3"/>
    <w:uiPriority w:val="99"/>
    <w:qFormat/>
    <w:tblPr>
      <w:tblCellMar>
        <w:left w:w="0" w:type="dxa"/>
        <w:top w:w="0" w:type="dxa"/>
        <w:right w:w="0" w:type="dxa"/>
        <w:bottom w:w="0" w:type="dxa"/>
      </w:tblCellMar>
    </w:tblPr>
  </w:style>
  <w:style w:type="table" w:styleId="1253" w:customStyle="1">
    <w:name w:val="Grid Table 2 - Accent 4"/>
    <w:uiPriority w:val="99"/>
    <w:qFormat/>
    <w:tblPr>
      <w:tblCellMar>
        <w:left w:w="0" w:type="dxa"/>
        <w:top w:w="0" w:type="dxa"/>
        <w:right w:w="0" w:type="dxa"/>
        <w:bottom w:w="0" w:type="dxa"/>
      </w:tblCellMar>
    </w:tblPr>
  </w:style>
  <w:style w:type="table" w:styleId="1254" w:customStyle="1">
    <w:name w:val="Grid Table 2 - Accent 5"/>
    <w:uiPriority w:val="99"/>
    <w:qFormat/>
    <w:tblPr>
      <w:tblCellMar>
        <w:left w:w="0" w:type="dxa"/>
        <w:top w:w="0" w:type="dxa"/>
        <w:right w:w="0" w:type="dxa"/>
        <w:bottom w:w="0" w:type="dxa"/>
      </w:tblCellMar>
    </w:tblPr>
  </w:style>
  <w:style w:type="table" w:styleId="1255" w:customStyle="1">
    <w:name w:val="Grid Table 2 - Accent 6"/>
    <w:uiPriority w:val="99"/>
    <w:qFormat/>
    <w:tblPr>
      <w:tblCellMar>
        <w:left w:w="0" w:type="dxa"/>
        <w:top w:w="0" w:type="dxa"/>
        <w:right w:w="0" w:type="dxa"/>
        <w:bottom w:w="0" w:type="dxa"/>
      </w:tblCellMar>
    </w:tblPr>
  </w:style>
  <w:style w:type="table" w:styleId="1256" w:customStyle="1">
    <w:name w:val="网格表 31"/>
    <w:uiPriority w:val="99"/>
    <w:qFormat/>
    <w:tblPr>
      <w:tblCellMar>
        <w:left w:w="0" w:type="dxa"/>
        <w:top w:w="0" w:type="dxa"/>
        <w:right w:w="0" w:type="dxa"/>
        <w:bottom w:w="0" w:type="dxa"/>
      </w:tblCellMar>
    </w:tblPr>
  </w:style>
  <w:style w:type="table" w:styleId="1257" w:customStyle="1">
    <w:name w:val="Grid Table 3 - Accent 1"/>
    <w:uiPriority w:val="99"/>
    <w:qFormat/>
    <w:tblPr>
      <w:tblCellMar>
        <w:left w:w="0" w:type="dxa"/>
        <w:top w:w="0" w:type="dxa"/>
        <w:right w:w="0" w:type="dxa"/>
        <w:bottom w:w="0" w:type="dxa"/>
      </w:tblCellMar>
    </w:tblPr>
  </w:style>
  <w:style w:type="table" w:styleId="1258" w:customStyle="1">
    <w:name w:val="Grid Table 3 - Accent 2"/>
    <w:uiPriority w:val="99"/>
    <w:qFormat/>
    <w:tblPr>
      <w:tblCellMar>
        <w:left w:w="0" w:type="dxa"/>
        <w:top w:w="0" w:type="dxa"/>
        <w:right w:w="0" w:type="dxa"/>
        <w:bottom w:w="0" w:type="dxa"/>
      </w:tblCellMar>
    </w:tblPr>
  </w:style>
  <w:style w:type="table" w:styleId="1259" w:customStyle="1">
    <w:name w:val="Grid Table 3 - Accent 3"/>
    <w:uiPriority w:val="99"/>
    <w:qFormat/>
    <w:tblPr>
      <w:tblCellMar>
        <w:left w:w="0" w:type="dxa"/>
        <w:top w:w="0" w:type="dxa"/>
        <w:right w:w="0" w:type="dxa"/>
        <w:bottom w:w="0" w:type="dxa"/>
      </w:tblCellMar>
    </w:tblPr>
  </w:style>
  <w:style w:type="table" w:styleId="1260" w:customStyle="1">
    <w:name w:val="Grid Table 3 - Accent 4"/>
    <w:uiPriority w:val="99"/>
    <w:qFormat/>
    <w:tblPr>
      <w:tblCellMar>
        <w:left w:w="0" w:type="dxa"/>
        <w:top w:w="0" w:type="dxa"/>
        <w:right w:w="0" w:type="dxa"/>
        <w:bottom w:w="0" w:type="dxa"/>
      </w:tblCellMar>
    </w:tblPr>
  </w:style>
  <w:style w:type="table" w:styleId="1261" w:customStyle="1">
    <w:name w:val="Grid Table 3 - Accent 5"/>
    <w:uiPriority w:val="99"/>
    <w:qFormat/>
    <w:tblPr>
      <w:tblCellMar>
        <w:left w:w="0" w:type="dxa"/>
        <w:top w:w="0" w:type="dxa"/>
        <w:right w:w="0" w:type="dxa"/>
        <w:bottom w:w="0" w:type="dxa"/>
      </w:tblCellMar>
    </w:tblPr>
  </w:style>
  <w:style w:type="table" w:styleId="1262" w:customStyle="1">
    <w:name w:val="Grid Table 3 - Accent 6"/>
    <w:uiPriority w:val="99"/>
    <w:qFormat/>
    <w:tblPr>
      <w:tblCellMar>
        <w:left w:w="0" w:type="dxa"/>
        <w:top w:w="0" w:type="dxa"/>
        <w:right w:w="0" w:type="dxa"/>
        <w:bottom w:w="0" w:type="dxa"/>
      </w:tblCellMar>
    </w:tblPr>
  </w:style>
  <w:style w:type="table" w:styleId="1263" w:customStyle="1">
    <w:name w:val="网格表 41"/>
    <w:uiPriority w:val="59"/>
    <w:qFormat/>
    <w:tblPr>
      <w:tblCellMar>
        <w:left w:w="0" w:type="dxa"/>
        <w:top w:w="0" w:type="dxa"/>
        <w:right w:w="0" w:type="dxa"/>
        <w:bottom w:w="0" w:type="dxa"/>
      </w:tblCellMar>
    </w:tblPr>
  </w:style>
  <w:style w:type="table" w:styleId="1264" w:customStyle="1">
    <w:name w:val="Grid Table 4 - Accent 1"/>
    <w:uiPriority w:val="59"/>
    <w:qFormat/>
    <w:tblPr>
      <w:tblCellMar>
        <w:left w:w="0" w:type="dxa"/>
        <w:top w:w="0" w:type="dxa"/>
        <w:right w:w="0" w:type="dxa"/>
        <w:bottom w:w="0" w:type="dxa"/>
      </w:tblCellMar>
    </w:tblPr>
  </w:style>
  <w:style w:type="table" w:styleId="1265" w:customStyle="1">
    <w:name w:val="Grid Table 4 - Accent 2"/>
    <w:uiPriority w:val="59"/>
    <w:qFormat/>
    <w:tblPr>
      <w:tblCellMar>
        <w:left w:w="0" w:type="dxa"/>
        <w:top w:w="0" w:type="dxa"/>
        <w:right w:w="0" w:type="dxa"/>
        <w:bottom w:w="0" w:type="dxa"/>
      </w:tblCellMar>
    </w:tblPr>
  </w:style>
  <w:style w:type="table" w:styleId="1266" w:customStyle="1">
    <w:name w:val="Grid Table 4 - Accent 3"/>
    <w:uiPriority w:val="59"/>
    <w:qFormat/>
    <w:tblPr>
      <w:tblCellMar>
        <w:left w:w="0" w:type="dxa"/>
        <w:top w:w="0" w:type="dxa"/>
        <w:right w:w="0" w:type="dxa"/>
        <w:bottom w:w="0" w:type="dxa"/>
      </w:tblCellMar>
    </w:tblPr>
  </w:style>
  <w:style w:type="table" w:styleId="1267" w:customStyle="1">
    <w:name w:val="Grid Table 4 - Accent 4"/>
    <w:uiPriority w:val="59"/>
    <w:qFormat/>
    <w:tblPr>
      <w:tblCellMar>
        <w:left w:w="0" w:type="dxa"/>
        <w:top w:w="0" w:type="dxa"/>
        <w:right w:w="0" w:type="dxa"/>
        <w:bottom w:w="0" w:type="dxa"/>
      </w:tblCellMar>
    </w:tblPr>
  </w:style>
  <w:style w:type="table" w:styleId="1268" w:customStyle="1">
    <w:name w:val="Grid Table 4 - Accent 5"/>
    <w:uiPriority w:val="59"/>
    <w:qFormat/>
    <w:tblPr>
      <w:tblCellMar>
        <w:left w:w="0" w:type="dxa"/>
        <w:top w:w="0" w:type="dxa"/>
        <w:right w:w="0" w:type="dxa"/>
        <w:bottom w:w="0" w:type="dxa"/>
      </w:tblCellMar>
    </w:tblPr>
  </w:style>
  <w:style w:type="table" w:styleId="1269" w:customStyle="1">
    <w:name w:val="Grid Table 4 - Accent 6"/>
    <w:uiPriority w:val="59"/>
    <w:qFormat/>
    <w:tblPr>
      <w:tblCellMar>
        <w:left w:w="0" w:type="dxa"/>
        <w:top w:w="0" w:type="dxa"/>
        <w:right w:w="0" w:type="dxa"/>
        <w:bottom w:w="0" w:type="dxa"/>
      </w:tblCellMar>
    </w:tblPr>
  </w:style>
  <w:style w:type="table" w:styleId="1270" w:customStyle="1">
    <w:name w:val="网格表 5 深色1"/>
    <w:uiPriority w:val="99"/>
    <w:qFormat/>
    <w:tblPr>
      <w:tblCellMar>
        <w:left w:w="0" w:type="dxa"/>
        <w:top w:w="0" w:type="dxa"/>
        <w:right w:w="0" w:type="dxa"/>
        <w:bottom w:w="0" w:type="dxa"/>
      </w:tblCellMar>
    </w:tblPr>
  </w:style>
  <w:style w:type="table" w:styleId="1271" w:customStyle="1">
    <w:name w:val="Grid Table 5 Dark- Accent 1"/>
    <w:uiPriority w:val="99"/>
    <w:qFormat/>
    <w:tblPr>
      <w:tblCellMar>
        <w:left w:w="0" w:type="dxa"/>
        <w:top w:w="0" w:type="dxa"/>
        <w:right w:w="0" w:type="dxa"/>
        <w:bottom w:w="0" w:type="dxa"/>
      </w:tblCellMar>
    </w:tblPr>
  </w:style>
  <w:style w:type="table" w:styleId="1272" w:customStyle="1">
    <w:name w:val="Grid Table 5 Dark - Accent 2"/>
    <w:uiPriority w:val="99"/>
    <w:qFormat/>
    <w:tblPr>
      <w:tblCellMar>
        <w:left w:w="0" w:type="dxa"/>
        <w:top w:w="0" w:type="dxa"/>
        <w:right w:w="0" w:type="dxa"/>
        <w:bottom w:w="0" w:type="dxa"/>
      </w:tblCellMar>
    </w:tblPr>
  </w:style>
  <w:style w:type="table" w:styleId="1273" w:customStyle="1">
    <w:name w:val="Grid Table 5 Dark - Accent 3"/>
    <w:uiPriority w:val="99"/>
    <w:qFormat/>
    <w:tblPr>
      <w:tblCellMar>
        <w:left w:w="0" w:type="dxa"/>
        <w:top w:w="0" w:type="dxa"/>
        <w:right w:w="0" w:type="dxa"/>
        <w:bottom w:w="0" w:type="dxa"/>
      </w:tblCellMar>
    </w:tblPr>
  </w:style>
  <w:style w:type="table" w:styleId="1274" w:customStyle="1">
    <w:name w:val="Grid Table 5 Dark- Accent 4"/>
    <w:uiPriority w:val="99"/>
    <w:qFormat/>
    <w:tblPr>
      <w:tblCellMar>
        <w:left w:w="0" w:type="dxa"/>
        <w:top w:w="0" w:type="dxa"/>
        <w:right w:w="0" w:type="dxa"/>
        <w:bottom w:w="0" w:type="dxa"/>
      </w:tblCellMar>
    </w:tblPr>
  </w:style>
  <w:style w:type="table" w:styleId="1275" w:customStyle="1">
    <w:name w:val="Grid Table 5 Dark - Accent 5"/>
    <w:uiPriority w:val="99"/>
    <w:qFormat/>
    <w:tblPr>
      <w:tblCellMar>
        <w:left w:w="0" w:type="dxa"/>
        <w:top w:w="0" w:type="dxa"/>
        <w:right w:w="0" w:type="dxa"/>
        <w:bottom w:w="0" w:type="dxa"/>
      </w:tblCellMar>
    </w:tblPr>
  </w:style>
  <w:style w:type="table" w:styleId="1276" w:customStyle="1">
    <w:name w:val="Grid Table 5 Dark - Accent 6"/>
    <w:uiPriority w:val="99"/>
    <w:qFormat/>
    <w:tblPr>
      <w:tblCellMar>
        <w:left w:w="0" w:type="dxa"/>
        <w:top w:w="0" w:type="dxa"/>
        <w:right w:w="0" w:type="dxa"/>
        <w:bottom w:w="0" w:type="dxa"/>
      </w:tblCellMar>
    </w:tblPr>
  </w:style>
  <w:style w:type="table" w:styleId="1277" w:customStyle="1">
    <w:name w:val="网格表 6 彩色1"/>
    <w:uiPriority w:val="99"/>
    <w:qFormat/>
    <w:tblPr>
      <w:tblCellMar>
        <w:left w:w="0" w:type="dxa"/>
        <w:top w:w="0" w:type="dxa"/>
        <w:right w:w="0" w:type="dxa"/>
        <w:bottom w:w="0" w:type="dxa"/>
      </w:tblCellMar>
    </w:tblPr>
  </w:style>
  <w:style w:type="table" w:styleId="1278" w:customStyle="1">
    <w:name w:val="Grid Table 6 Colorful - Accent 1"/>
    <w:uiPriority w:val="99"/>
    <w:qFormat/>
    <w:tblPr>
      <w:tblCellMar>
        <w:left w:w="0" w:type="dxa"/>
        <w:top w:w="0" w:type="dxa"/>
        <w:right w:w="0" w:type="dxa"/>
        <w:bottom w:w="0" w:type="dxa"/>
      </w:tblCellMar>
    </w:tblPr>
  </w:style>
  <w:style w:type="table" w:styleId="1279" w:customStyle="1">
    <w:name w:val="Grid Table 6 Colorful - Accent 2"/>
    <w:uiPriority w:val="99"/>
    <w:qFormat/>
    <w:tblPr>
      <w:tblCellMar>
        <w:left w:w="0" w:type="dxa"/>
        <w:top w:w="0" w:type="dxa"/>
        <w:right w:w="0" w:type="dxa"/>
        <w:bottom w:w="0" w:type="dxa"/>
      </w:tblCellMar>
    </w:tblPr>
  </w:style>
  <w:style w:type="table" w:styleId="1280" w:customStyle="1">
    <w:name w:val="Grid Table 6 Colorful - Accent 3"/>
    <w:uiPriority w:val="99"/>
    <w:qFormat/>
    <w:tblPr>
      <w:tblCellMar>
        <w:left w:w="0" w:type="dxa"/>
        <w:top w:w="0" w:type="dxa"/>
        <w:right w:w="0" w:type="dxa"/>
        <w:bottom w:w="0" w:type="dxa"/>
      </w:tblCellMar>
    </w:tblPr>
  </w:style>
  <w:style w:type="table" w:styleId="1281" w:customStyle="1">
    <w:name w:val="Grid Table 6 Colorful - Accent 4"/>
    <w:uiPriority w:val="99"/>
    <w:qFormat/>
    <w:tblPr>
      <w:tblCellMar>
        <w:left w:w="0" w:type="dxa"/>
        <w:top w:w="0" w:type="dxa"/>
        <w:right w:w="0" w:type="dxa"/>
        <w:bottom w:w="0" w:type="dxa"/>
      </w:tblCellMar>
    </w:tblPr>
  </w:style>
  <w:style w:type="table" w:styleId="1282" w:customStyle="1">
    <w:name w:val="Grid Table 6 Colorful - Accent 5"/>
    <w:uiPriority w:val="99"/>
    <w:qFormat/>
    <w:tblPr>
      <w:tblCellMar>
        <w:left w:w="0" w:type="dxa"/>
        <w:top w:w="0" w:type="dxa"/>
        <w:right w:w="0" w:type="dxa"/>
        <w:bottom w:w="0" w:type="dxa"/>
      </w:tblCellMar>
    </w:tblPr>
  </w:style>
  <w:style w:type="table" w:styleId="1283" w:customStyle="1">
    <w:name w:val="Grid Table 6 Colorful - Accent 6"/>
    <w:uiPriority w:val="99"/>
    <w:qFormat/>
    <w:tblPr>
      <w:tblCellMar>
        <w:left w:w="0" w:type="dxa"/>
        <w:top w:w="0" w:type="dxa"/>
        <w:right w:w="0" w:type="dxa"/>
        <w:bottom w:w="0" w:type="dxa"/>
      </w:tblCellMar>
    </w:tblPr>
  </w:style>
  <w:style w:type="table" w:styleId="1284" w:customStyle="1">
    <w:name w:val="网格表 7 彩色1"/>
    <w:uiPriority w:val="99"/>
    <w:qFormat/>
    <w:tblPr>
      <w:tblCellMar>
        <w:left w:w="0" w:type="dxa"/>
        <w:top w:w="0" w:type="dxa"/>
        <w:right w:w="0" w:type="dxa"/>
        <w:bottom w:w="0" w:type="dxa"/>
      </w:tblCellMar>
    </w:tblPr>
  </w:style>
  <w:style w:type="table" w:styleId="1285" w:customStyle="1">
    <w:name w:val="Grid Table 7 Colorful - Accent 1"/>
    <w:uiPriority w:val="99"/>
    <w:qFormat/>
    <w:tblPr>
      <w:tblCellMar>
        <w:left w:w="0" w:type="dxa"/>
        <w:top w:w="0" w:type="dxa"/>
        <w:right w:w="0" w:type="dxa"/>
        <w:bottom w:w="0" w:type="dxa"/>
      </w:tblCellMar>
    </w:tblPr>
  </w:style>
  <w:style w:type="table" w:styleId="1286" w:customStyle="1">
    <w:name w:val="Grid Table 7 Colorful - Accent 2"/>
    <w:uiPriority w:val="99"/>
    <w:qFormat/>
    <w:tblPr>
      <w:tblCellMar>
        <w:left w:w="0" w:type="dxa"/>
        <w:top w:w="0" w:type="dxa"/>
        <w:right w:w="0" w:type="dxa"/>
        <w:bottom w:w="0" w:type="dxa"/>
      </w:tblCellMar>
    </w:tblPr>
  </w:style>
  <w:style w:type="table" w:styleId="1287" w:customStyle="1">
    <w:name w:val="Grid Table 7 Colorful - Accent 3"/>
    <w:uiPriority w:val="99"/>
    <w:qFormat/>
    <w:tblPr>
      <w:tblCellMar>
        <w:left w:w="0" w:type="dxa"/>
        <w:top w:w="0" w:type="dxa"/>
        <w:right w:w="0" w:type="dxa"/>
        <w:bottom w:w="0" w:type="dxa"/>
      </w:tblCellMar>
    </w:tblPr>
  </w:style>
  <w:style w:type="table" w:styleId="1288" w:customStyle="1">
    <w:name w:val="Grid Table 7 Colorful - Accent 4"/>
    <w:uiPriority w:val="99"/>
    <w:qFormat/>
    <w:tblPr>
      <w:tblCellMar>
        <w:left w:w="0" w:type="dxa"/>
        <w:top w:w="0" w:type="dxa"/>
        <w:right w:w="0" w:type="dxa"/>
        <w:bottom w:w="0" w:type="dxa"/>
      </w:tblCellMar>
    </w:tblPr>
  </w:style>
  <w:style w:type="table" w:styleId="1289" w:customStyle="1">
    <w:name w:val="Grid Table 7 Colorful - Accent 5"/>
    <w:uiPriority w:val="99"/>
    <w:qFormat/>
    <w:tblPr>
      <w:tblCellMar>
        <w:left w:w="0" w:type="dxa"/>
        <w:top w:w="0" w:type="dxa"/>
        <w:right w:w="0" w:type="dxa"/>
        <w:bottom w:w="0" w:type="dxa"/>
      </w:tblCellMar>
    </w:tblPr>
  </w:style>
  <w:style w:type="table" w:styleId="1290" w:customStyle="1">
    <w:name w:val="Grid Table 7 Colorful - Accent 6"/>
    <w:uiPriority w:val="99"/>
    <w:qFormat/>
    <w:tblPr>
      <w:tblCellMar>
        <w:left w:w="0" w:type="dxa"/>
        <w:top w:w="0" w:type="dxa"/>
        <w:right w:w="0" w:type="dxa"/>
        <w:bottom w:w="0" w:type="dxa"/>
      </w:tblCellMar>
    </w:tblPr>
  </w:style>
  <w:style w:type="table" w:styleId="1291" w:customStyle="1">
    <w:name w:val="清单表 1 浅色1"/>
    <w:uiPriority w:val="99"/>
    <w:qFormat/>
    <w:tblPr>
      <w:tblCellMar>
        <w:left w:w="0" w:type="dxa"/>
        <w:top w:w="0" w:type="dxa"/>
        <w:right w:w="0" w:type="dxa"/>
        <w:bottom w:w="0" w:type="dxa"/>
      </w:tblCellMar>
    </w:tblPr>
  </w:style>
  <w:style w:type="table" w:styleId="1292" w:customStyle="1">
    <w:name w:val="List Table 1 Light - Accent 1"/>
    <w:uiPriority w:val="99"/>
    <w:qFormat/>
    <w:tblPr>
      <w:tblCellMar>
        <w:left w:w="0" w:type="dxa"/>
        <w:top w:w="0" w:type="dxa"/>
        <w:right w:w="0" w:type="dxa"/>
        <w:bottom w:w="0" w:type="dxa"/>
      </w:tblCellMar>
    </w:tblPr>
  </w:style>
  <w:style w:type="table" w:styleId="1293" w:customStyle="1">
    <w:name w:val="List Table 1 Light - Accent 2"/>
    <w:uiPriority w:val="99"/>
    <w:qFormat/>
    <w:tblPr>
      <w:tblCellMar>
        <w:left w:w="0" w:type="dxa"/>
        <w:top w:w="0" w:type="dxa"/>
        <w:right w:w="0" w:type="dxa"/>
        <w:bottom w:w="0" w:type="dxa"/>
      </w:tblCellMar>
    </w:tblPr>
  </w:style>
  <w:style w:type="table" w:styleId="1294" w:customStyle="1">
    <w:name w:val="List Table 1 Light - Accent 3"/>
    <w:uiPriority w:val="99"/>
    <w:qFormat/>
    <w:tblPr>
      <w:tblCellMar>
        <w:left w:w="0" w:type="dxa"/>
        <w:top w:w="0" w:type="dxa"/>
        <w:right w:w="0" w:type="dxa"/>
        <w:bottom w:w="0" w:type="dxa"/>
      </w:tblCellMar>
    </w:tblPr>
  </w:style>
  <w:style w:type="table" w:styleId="1295" w:customStyle="1">
    <w:name w:val="List Table 1 Light - Accent 4"/>
    <w:uiPriority w:val="99"/>
    <w:qFormat/>
    <w:tblPr>
      <w:tblCellMar>
        <w:left w:w="0" w:type="dxa"/>
        <w:top w:w="0" w:type="dxa"/>
        <w:right w:w="0" w:type="dxa"/>
        <w:bottom w:w="0" w:type="dxa"/>
      </w:tblCellMar>
    </w:tblPr>
  </w:style>
  <w:style w:type="table" w:styleId="1296" w:customStyle="1">
    <w:name w:val="List Table 1 Light - Accent 5"/>
    <w:uiPriority w:val="99"/>
    <w:qFormat/>
    <w:tblPr>
      <w:tblCellMar>
        <w:left w:w="0" w:type="dxa"/>
        <w:top w:w="0" w:type="dxa"/>
        <w:right w:w="0" w:type="dxa"/>
        <w:bottom w:w="0" w:type="dxa"/>
      </w:tblCellMar>
    </w:tblPr>
  </w:style>
  <w:style w:type="table" w:styleId="1297" w:customStyle="1">
    <w:name w:val="List Table 7 Colorful - Accent 1"/>
    <w:uiPriority w:val="99"/>
    <w:qFormat/>
    <w:tblPr>
      <w:tblCellMar>
        <w:left w:w="0" w:type="dxa"/>
        <w:top w:w="0" w:type="dxa"/>
        <w:right w:w="0" w:type="dxa"/>
        <w:bottom w:w="0" w:type="dxa"/>
      </w:tblCellMar>
    </w:tblPr>
  </w:style>
  <w:style w:type="table" w:styleId="1298" w:customStyle="1">
    <w:name w:val="List Table 1 Light - Accent 6"/>
    <w:uiPriority w:val="99"/>
    <w:qFormat/>
    <w:tblPr>
      <w:tblCellMar>
        <w:left w:w="0" w:type="dxa"/>
        <w:top w:w="0" w:type="dxa"/>
        <w:right w:w="0" w:type="dxa"/>
        <w:bottom w:w="0" w:type="dxa"/>
      </w:tblCellMar>
    </w:tblPr>
  </w:style>
  <w:style w:type="table" w:styleId="1299" w:customStyle="1">
    <w:name w:val="List Table 6 Colorful - Accent 5"/>
    <w:uiPriority w:val="99"/>
    <w:qFormat/>
    <w:tblPr>
      <w:tblCellMar>
        <w:left w:w="0" w:type="dxa"/>
        <w:top w:w="0" w:type="dxa"/>
        <w:right w:w="0" w:type="dxa"/>
        <w:bottom w:w="0" w:type="dxa"/>
      </w:tblCellMar>
    </w:tblPr>
  </w:style>
  <w:style w:type="table" w:styleId="1300" w:customStyle="1">
    <w:name w:val="清单表 21"/>
    <w:uiPriority w:val="99"/>
    <w:qFormat/>
    <w:tblPr>
      <w:tblCellMar>
        <w:left w:w="0" w:type="dxa"/>
        <w:top w:w="0" w:type="dxa"/>
        <w:right w:w="0" w:type="dxa"/>
        <w:bottom w:w="0" w:type="dxa"/>
      </w:tblCellMar>
    </w:tblPr>
  </w:style>
  <w:style w:type="table" w:styleId="1301" w:customStyle="1">
    <w:name w:val="List Table 2 - Accent 1"/>
    <w:uiPriority w:val="99"/>
    <w:qFormat/>
    <w:tblPr>
      <w:tblCellMar>
        <w:left w:w="0" w:type="dxa"/>
        <w:top w:w="0" w:type="dxa"/>
        <w:right w:w="0" w:type="dxa"/>
        <w:bottom w:w="0" w:type="dxa"/>
      </w:tblCellMar>
    </w:tblPr>
  </w:style>
  <w:style w:type="table" w:styleId="1302" w:customStyle="1">
    <w:name w:val="Lined - Accent 4"/>
    <w:uiPriority w:val="99"/>
    <w:qFormat/>
    <w:rPr>
      <w:color w:val="404040"/>
    </w:rPr>
    <w:tblPr>
      <w:tblCellMar>
        <w:left w:w="0" w:type="dxa"/>
        <w:top w:w="0" w:type="dxa"/>
        <w:right w:w="0" w:type="dxa"/>
        <w:bottom w:w="0" w:type="dxa"/>
      </w:tblCellMar>
    </w:tblPr>
  </w:style>
  <w:style w:type="table" w:styleId="1303" w:customStyle="1">
    <w:name w:val="List Table 2 - Accent 2"/>
    <w:uiPriority w:val="99"/>
    <w:qFormat/>
    <w:tblPr>
      <w:tblCellMar>
        <w:left w:w="0" w:type="dxa"/>
        <w:top w:w="0" w:type="dxa"/>
        <w:right w:w="0" w:type="dxa"/>
        <w:bottom w:w="0" w:type="dxa"/>
      </w:tblCellMar>
    </w:tblPr>
  </w:style>
  <w:style w:type="table" w:styleId="1304" w:customStyle="1">
    <w:name w:val="Lined - Accent 1"/>
    <w:uiPriority w:val="99"/>
    <w:qFormat/>
    <w:rPr>
      <w:color w:val="404040"/>
    </w:rPr>
    <w:tblPr>
      <w:tblCellMar>
        <w:left w:w="0" w:type="dxa"/>
        <w:top w:w="0" w:type="dxa"/>
        <w:right w:w="0" w:type="dxa"/>
        <w:bottom w:w="0" w:type="dxa"/>
      </w:tblCellMar>
    </w:tblPr>
  </w:style>
  <w:style w:type="table" w:styleId="1305" w:customStyle="1">
    <w:name w:val="List Table 2 - Accent 3"/>
    <w:uiPriority w:val="99"/>
    <w:qFormat/>
    <w:tblPr>
      <w:tblCellMar>
        <w:left w:w="0" w:type="dxa"/>
        <w:top w:w="0" w:type="dxa"/>
        <w:right w:w="0" w:type="dxa"/>
        <w:bottom w:w="0" w:type="dxa"/>
      </w:tblCellMar>
    </w:tblPr>
  </w:style>
  <w:style w:type="table" w:styleId="1306" w:customStyle="1">
    <w:name w:val="Bordered &amp; Lined - Accent 2"/>
    <w:uiPriority w:val="99"/>
    <w:qFormat/>
    <w:rPr>
      <w:color w:val="404040"/>
    </w:rPr>
    <w:tblPr>
      <w:tblCellMar>
        <w:left w:w="0" w:type="dxa"/>
        <w:top w:w="0" w:type="dxa"/>
        <w:right w:w="0" w:type="dxa"/>
        <w:bottom w:w="0" w:type="dxa"/>
      </w:tblCellMar>
    </w:tblPr>
  </w:style>
  <w:style w:type="table" w:styleId="1307" w:customStyle="1">
    <w:name w:val="List Table 2 - Accent 4"/>
    <w:uiPriority w:val="99"/>
    <w:qFormat/>
    <w:tblPr>
      <w:tblCellMar>
        <w:left w:w="0" w:type="dxa"/>
        <w:top w:w="0" w:type="dxa"/>
        <w:right w:w="0" w:type="dxa"/>
        <w:bottom w:w="0" w:type="dxa"/>
      </w:tblCellMar>
    </w:tblPr>
  </w:style>
  <w:style w:type="table" w:styleId="1308" w:customStyle="1">
    <w:name w:val="Lined - Accent"/>
    <w:uiPriority w:val="99"/>
    <w:qFormat/>
    <w:rPr>
      <w:color w:val="404040"/>
    </w:rPr>
    <w:tblPr>
      <w:tblCellMar>
        <w:left w:w="0" w:type="dxa"/>
        <w:top w:w="0" w:type="dxa"/>
        <w:right w:w="0" w:type="dxa"/>
        <w:bottom w:w="0" w:type="dxa"/>
      </w:tblCellMar>
    </w:tblPr>
  </w:style>
  <w:style w:type="table" w:styleId="1309" w:customStyle="1">
    <w:name w:val="List Table 2 - Accent 5"/>
    <w:uiPriority w:val="99"/>
    <w:qFormat/>
    <w:tblPr>
      <w:tblCellMar>
        <w:left w:w="0" w:type="dxa"/>
        <w:top w:w="0" w:type="dxa"/>
        <w:right w:w="0" w:type="dxa"/>
        <w:bottom w:w="0" w:type="dxa"/>
      </w:tblCellMar>
    </w:tblPr>
  </w:style>
  <w:style w:type="table" w:styleId="1310" w:customStyle="1">
    <w:name w:val="Lined - Accent 2"/>
    <w:uiPriority w:val="99"/>
    <w:qFormat/>
    <w:rPr>
      <w:color w:val="404040"/>
    </w:rPr>
    <w:tblPr>
      <w:tblCellMar>
        <w:left w:w="0" w:type="dxa"/>
        <w:top w:w="0" w:type="dxa"/>
        <w:right w:w="0" w:type="dxa"/>
        <w:bottom w:w="0" w:type="dxa"/>
      </w:tblCellMar>
    </w:tblPr>
  </w:style>
  <w:style w:type="table" w:styleId="1311" w:customStyle="1">
    <w:name w:val="List Table 2 - Accent 6"/>
    <w:uiPriority w:val="99"/>
    <w:qFormat/>
    <w:tblPr>
      <w:tblCellMar>
        <w:left w:w="0" w:type="dxa"/>
        <w:top w:w="0" w:type="dxa"/>
        <w:right w:w="0" w:type="dxa"/>
        <w:bottom w:w="0" w:type="dxa"/>
      </w:tblCellMar>
    </w:tblPr>
  </w:style>
  <w:style w:type="table" w:styleId="1312" w:customStyle="1">
    <w:name w:val="List Table 6 Colorful - Accent 6"/>
    <w:uiPriority w:val="99"/>
    <w:qFormat/>
    <w:tblPr>
      <w:tblCellMar>
        <w:left w:w="0" w:type="dxa"/>
        <w:top w:w="0" w:type="dxa"/>
        <w:right w:w="0" w:type="dxa"/>
        <w:bottom w:w="0" w:type="dxa"/>
      </w:tblCellMar>
    </w:tblPr>
  </w:style>
  <w:style w:type="table" w:styleId="1313" w:customStyle="1">
    <w:name w:val="清单表 31"/>
    <w:uiPriority w:val="99"/>
    <w:qFormat/>
    <w:tblPr>
      <w:tblCellMar>
        <w:left w:w="0" w:type="dxa"/>
        <w:top w:w="0" w:type="dxa"/>
        <w:right w:w="0" w:type="dxa"/>
        <w:bottom w:w="0" w:type="dxa"/>
      </w:tblCellMar>
    </w:tblPr>
  </w:style>
  <w:style w:type="table" w:styleId="1314" w:customStyle="1">
    <w:name w:val="List Table 3 - Accent 1"/>
    <w:uiPriority w:val="99"/>
    <w:qFormat/>
    <w:tblPr>
      <w:tblCellMar>
        <w:left w:w="0" w:type="dxa"/>
        <w:top w:w="0" w:type="dxa"/>
        <w:right w:w="0" w:type="dxa"/>
        <w:bottom w:w="0" w:type="dxa"/>
      </w:tblCellMar>
    </w:tblPr>
  </w:style>
  <w:style w:type="table" w:styleId="1315" w:customStyle="1">
    <w:name w:val="清单表 7 彩色1"/>
    <w:uiPriority w:val="99"/>
    <w:qFormat/>
    <w:tblPr>
      <w:tblCellMar>
        <w:left w:w="0" w:type="dxa"/>
        <w:top w:w="0" w:type="dxa"/>
        <w:right w:w="0" w:type="dxa"/>
        <w:bottom w:w="0" w:type="dxa"/>
      </w:tblCellMar>
    </w:tblPr>
  </w:style>
  <w:style w:type="table" w:styleId="1316" w:customStyle="1">
    <w:name w:val="List Table 3 - Accent 2"/>
    <w:uiPriority w:val="99"/>
    <w:qFormat/>
    <w:tblPr>
      <w:tblCellMar>
        <w:left w:w="0" w:type="dxa"/>
        <w:top w:w="0" w:type="dxa"/>
        <w:right w:w="0" w:type="dxa"/>
        <w:bottom w:w="0" w:type="dxa"/>
      </w:tblCellMar>
    </w:tblPr>
  </w:style>
  <w:style w:type="table" w:styleId="1317" w:customStyle="1">
    <w:name w:val="List Table 3 - Accent 3"/>
    <w:uiPriority w:val="99"/>
    <w:qFormat/>
    <w:tblPr>
      <w:tblCellMar>
        <w:left w:w="0" w:type="dxa"/>
        <w:top w:w="0" w:type="dxa"/>
        <w:right w:w="0" w:type="dxa"/>
        <w:bottom w:w="0" w:type="dxa"/>
      </w:tblCellMar>
    </w:tblPr>
  </w:style>
  <w:style w:type="table" w:styleId="1318" w:customStyle="1">
    <w:name w:val="Lined - Accent 3"/>
    <w:uiPriority w:val="99"/>
    <w:qFormat/>
    <w:rPr>
      <w:color w:val="404040"/>
    </w:rPr>
    <w:tblPr>
      <w:tblCellMar>
        <w:left w:w="0" w:type="dxa"/>
        <w:top w:w="0" w:type="dxa"/>
        <w:right w:w="0" w:type="dxa"/>
        <w:bottom w:w="0" w:type="dxa"/>
      </w:tblCellMar>
    </w:tblPr>
  </w:style>
  <w:style w:type="table" w:styleId="1319" w:customStyle="1">
    <w:name w:val="List Table 3 - Accent 4"/>
    <w:uiPriority w:val="99"/>
    <w:qFormat/>
    <w:tblPr>
      <w:tblCellMar>
        <w:left w:w="0" w:type="dxa"/>
        <w:top w:w="0" w:type="dxa"/>
        <w:right w:w="0" w:type="dxa"/>
        <w:bottom w:w="0" w:type="dxa"/>
      </w:tblCellMar>
    </w:tblPr>
  </w:style>
  <w:style w:type="table" w:styleId="1320" w:customStyle="1">
    <w:name w:val="List Table 3 - Accent 5"/>
    <w:uiPriority w:val="99"/>
    <w:qFormat/>
    <w:tblPr>
      <w:tblCellMar>
        <w:left w:w="0" w:type="dxa"/>
        <w:top w:w="0" w:type="dxa"/>
        <w:right w:w="0" w:type="dxa"/>
        <w:bottom w:w="0" w:type="dxa"/>
      </w:tblCellMar>
    </w:tblPr>
  </w:style>
  <w:style w:type="table" w:styleId="1321" w:customStyle="1">
    <w:name w:val="List Table 6 Colorful - Accent 3"/>
    <w:uiPriority w:val="99"/>
    <w:qFormat/>
    <w:tblPr>
      <w:tblCellMar>
        <w:left w:w="0" w:type="dxa"/>
        <w:top w:w="0" w:type="dxa"/>
        <w:right w:w="0" w:type="dxa"/>
        <w:bottom w:w="0" w:type="dxa"/>
      </w:tblCellMar>
    </w:tblPr>
  </w:style>
  <w:style w:type="table" w:styleId="1322" w:customStyle="1">
    <w:name w:val="List Table 3 - Accent 6"/>
    <w:uiPriority w:val="99"/>
    <w:qFormat/>
    <w:tblPr>
      <w:tblCellMar>
        <w:left w:w="0" w:type="dxa"/>
        <w:top w:w="0" w:type="dxa"/>
        <w:right w:w="0" w:type="dxa"/>
        <w:bottom w:w="0" w:type="dxa"/>
      </w:tblCellMar>
    </w:tblPr>
  </w:style>
  <w:style w:type="table" w:styleId="1323" w:customStyle="1">
    <w:name w:val="List Table 6 Colorful - Accent 4"/>
    <w:uiPriority w:val="99"/>
    <w:qFormat/>
    <w:tblPr>
      <w:tblCellMar>
        <w:left w:w="0" w:type="dxa"/>
        <w:top w:w="0" w:type="dxa"/>
        <w:right w:w="0" w:type="dxa"/>
        <w:bottom w:w="0" w:type="dxa"/>
      </w:tblCellMar>
    </w:tblPr>
  </w:style>
  <w:style w:type="table" w:styleId="1324" w:customStyle="1">
    <w:name w:val="清单表 41"/>
    <w:uiPriority w:val="99"/>
    <w:qFormat/>
    <w:tblPr>
      <w:tblCellMar>
        <w:left w:w="0" w:type="dxa"/>
        <w:top w:w="0" w:type="dxa"/>
        <w:right w:w="0" w:type="dxa"/>
        <w:bottom w:w="0" w:type="dxa"/>
      </w:tblCellMar>
    </w:tblPr>
  </w:style>
  <w:style w:type="table" w:styleId="1325" w:customStyle="1">
    <w:name w:val="List Table 7 Colorful - Accent 4"/>
    <w:uiPriority w:val="99"/>
    <w:qFormat/>
    <w:tblPr>
      <w:tblCellMar>
        <w:left w:w="0" w:type="dxa"/>
        <w:top w:w="0" w:type="dxa"/>
        <w:right w:w="0" w:type="dxa"/>
        <w:bottom w:w="0" w:type="dxa"/>
      </w:tblCellMar>
    </w:tblPr>
  </w:style>
  <w:style w:type="table" w:styleId="1326" w:customStyle="1">
    <w:name w:val="List Table 4 - Accent 1"/>
    <w:uiPriority w:val="99"/>
    <w:qFormat/>
    <w:tblPr>
      <w:tblCellMar>
        <w:left w:w="0" w:type="dxa"/>
        <w:top w:w="0" w:type="dxa"/>
        <w:right w:w="0" w:type="dxa"/>
        <w:bottom w:w="0" w:type="dxa"/>
      </w:tblCellMar>
    </w:tblPr>
  </w:style>
  <w:style w:type="table" w:styleId="1327" w:customStyle="1">
    <w:name w:val="Lined - Accent 6"/>
    <w:uiPriority w:val="99"/>
    <w:qFormat/>
    <w:rPr>
      <w:color w:val="404040"/>
    </w:rPr>
    <w:tblPr>
      <w:tblCellMar>
        <w:left w:w="0" w:type="dxa"/>
        <w:top w:w="0" w:type="dxa"/>
        <w:right w:w="0" w:type="dxa"/>
        <w:bottom w:w="0" w:type="dxa"/>
      </w:tblCellMar>
    </w:tblPr>
  </w:style>
  <w:style w:type="table" w:styleId="1328" w:customStyle="1">
    <w:name w:val="List Table 4 - Accent 2"/>
    <w:uiPriority w:val="99"/>
    <w:qFormat/>
    <w:tblPr>
      <w:tblCellMar>
        <w:left w:w="0" w:type="dxa"/>
        <w:top w:w="0" w:type="dxa"/>
        <w:right w:w="0" w:type="dxa"/>
        <w:bottom w:w="0" w:type="dxa"/>
      </w:tblCellMar>
    </w:tblPr>
  </w:style>
  <w:style w:type="table" w:styleId="1329" w:customStyle="1">
    <w:name w:val="List Table 7 Colorful - Accent 3"/>
    <w:uiPriority w:val="99"/>
    <w:qFormat/>
    <w:tblPr>
      <w:tblCellMar>
        <w:left w:w="0" w:type="dxa"/>
        <w:top w:w="0" w:type="dxa"/>
        <w:right w:w="0" w:type="dxa"/>
        <w:bottom w:w="0" w:type="dxa"/>
      </w:tblCellMar>
    </w:tblPr>
  </w:style>
  <w:style w:type="table" w:styleId="1330" w:customStyle="1">
    <w:name w:val="List Table 4 - Accent 3"/>
    <w:uiPriority w:val="99"/>
    <w:qFormat/>
    <w:tblPr>
      <w:tblCellMar>
        <w:left w:w="0" w:type="dxa"/>
        <w:top w:w="0" w:type="dxa"/>
        <w:right w:w="0" w:type="dxa"/>
        <w:bottom w:w="0" w:type="dxa"/>
      </w:tblCellMar>
    </w:tblPr>
  </w:style>
  <w:style w:type="table" w:styleId="1331" w:customStyle="1">
    <w:name w:val="List Table 4 - Accent 4"/>
    <w:uiPriority w:val="99"/>
    <w:qFormat/>
    <w:tblPr>
      <w:tblCellMar>
        <w:left w:w="0" w:type="dxa"/>
        <w:top w:w="0" w:type="dxa"/>
        <w:right w:w="0" w:type="dxa"/>
        <w:bottom w:w="0" w:type="dxa"/>
      </w:tblCellMar>
    </w:tblPr>
  </w:style>
  <w:style w:type="table" w:styleId="1332" w:customStyle="1">
    <w:name w:val="List Table 4 - Accent 5"/>
    <w:uiPriority w:val="99"/>
    <w:qFormat/>
    <w:tblPr>
      <w:tblCellMar>
        <w:left w:w="0" w:type="dxa"/>
        <w:top w:w="0" w:type="dxa"/>
        <w:right w:w="0" w:type="dxa"/>
        <w:bottom w:w="0" w:type="dxa"/>
      </w:tblCellMar>
    </w:tblPr>
  </w:style>
  <w:style w:type="table" w:styleId="1333" w:customStyle="1">
    <w:name w:val="List Table 7 Colorful - Accent 6"/>
    <w:uiPriority w:val="99"/>
    <w:qFormat/>
    <w:tblPr>
      <w:tblCellMar>
        <w:left w:w="0" w:type="dxa"/>
        <w:top w:w="0" w:type="dxa"/>
        <w:right w:w="0" w:type="dxa"/>
        <w:bottom w:w="0" w:type="dxa"/>
      </w:tblCellMar>
    </w:tblPr>
  </w:style>
  <w:style w:type="table" w:styleId="1334" w:customStyle="1">
    <w:name w:val="List Table 4 - Accent 6"/>
    <w:uiPriority w:val="99"/>
    <w:qFormat/>
    <w:tblPr>
      <w:tblCellMar>
        <w:left w:w="0" w:type="dxa"/>
        <w:top w:w="0" w:type="dxa"/>
        <w:right w:w="0" w:type="dxa"/>
        <w:bottom w:w="0" w:type="dxa"/>
      </w:tblCellMar>
    </w:tblPr>
  </w:style>
  <w:style w:type="table" w:styleId="1335" w:customStyle="1">
    <w:name w:val="List Table 7 Colorful - Accent 2"/>
    <w:uiPriority w:val="99"/>
    <w:qFormat/>
    <w:tblPr>
      <w:tblCellMar>
        <w:left w:w="0" w:type="dxa"/>
        <w:top w:w="0" w:type="dxa"/>
        <w:right w:w="0" w:type="dxa"/>
        <w:bottom w:w="0" w:type="dxa"/>
      </w:tblCellMar>
    </w:tblPr>
  </w:style>
  <w:style w:type="table" w:styleId="1336" w:customStyle="1">
    <w:name w:val="清单表 5 深色1"/>
    <w:uiPriority w:val="99"/>
    <w:qFormat/>
    <w:tblPr>
      <w:tblCellMar>
        <w:left w:w="0" w:type="dxa"/>
        <w:top w:w="0" w:type="dxa"/>
        <w:right w:w="0" w:type="dxa"/>
        <w:bottom w:w="0" w:type="dxa"/>
      </w:tblCellMar>
    </w:tblPr>
  </w:style>
  <w:style w:type="table" w:styleId="1337" w:customStyle="1">
    <w:name w:val="List Table 7 Colorful - Accent 5"/>
    <w:uiPriority w:val="99"/>
    <w:qFormat/>
    <w:tblPr>
      <w:tblCellMar>
        <w:left w:w="0" w:type="dxa"/>
        <w:top w:w="0" w:type="dxa"/>
        <w:right w:w="0" w:type="dxa"/>
        <w:bottom w:w="0" w:type="dxa"/>
      </w:tblCellMar>
    </w:tblPr>
  </w:style>
  <w:style w:type="table" w:styleId="1338" w:customStyle="1">
    <w:name w:val="List Table 5 Dark - Accent 1"/>
    <w:uiPriority w:val="99"/>
    <w:qFormat/>
    <w:tblPr>
      <w:tblCellMar>
        <w:left w:w="0" w:type="dxa"/>
        <w:top w:w="0" w:type="dxa"/>
        <w:right w:w="0" w:type="dxa"/>
        <w:bottom w:w="0" w:type="dxa"/>
      </w:tblCellMar>
    </w:tblPr>
  </w:style>
  <w:style w:type="table" w:styleId="1339" w:customStyle="1">
    <w:name w:val="List Table 5 Dark - Accent 2"/>
    <w:uiPriority w:val="99"/>
    <w:qFormat/>
    <w:tblPr>
      <w:tblCellMar>
        <w:left w:w="0" w:type="dxa"/>
        <w:top w:w="0" w:type="dxa"/>
        <w:right w:w="0" w:type="dxa"/>
        <w:bottom w:w="0" w:type="dxa"/>
      </w:tblCellMar>
    </w:tblPr>
  </w:style>
  <w:style w:type="table" w:styleId="1340" w:customStyle="1">
    <w:name w:val="List Table 5 Dark - Accent 3"/>
    <w:uiPriority w:val="99"/>
    <w:qFormat/>
    <w:tblPr>
      <w:tblCellMar>
        <w:left w:w="0" w:type="dxa"/>
        <w:top w:w="0" w:type="dxa"/>
        <w:right w:w="0" w:type="dxa"/>
        <w:bottom w:w="0" w:type="dxa"/>
      </w:tblCellMar>
    </w:tblPr>
  </w:style>
  <w:style w:type="table" w:styleId="1341" w:customStyle="1">
    <w:name w:val="Bordered &amp; Lined - Accent"/>
    <w:uiPriority w:val="99"/>
    <w:qFormat/>
    <w:rPr>
      <w:color w:val="404040"/>
    </w:rPr>
    <w:tblPr>
      <w:tblCellMar>
        <w:left w:w="0" w:type="dxa"/>
        <w:top w:w="0" w:type="dxa"/>
        <w:right w:w="0" w:type="dxa"/>
        <w:bottom w:w="0" w:type="dxa"/>
      </w:tblCellMar>
    </w:tblPr>
  </w:style>
  <w:style w:type="table" w:styleId="1342" w:customStyle="1">
    <w:name w:val="List Table 5 Dark - Accent 4"/>
    <w:uiPriority w:val="99"/>
    <w:qFormat/>
    <w:tblPr>
      <w:tblCellMar>
        <w:left w:w="0" w:type="dxa"/>
        <w:top w:w="0" w:type="dxa"/>
        <w:right w:w="0" w:type="dxa"/>
        <w:bottom w:w="0" w:type="dxa"/>
      </w:tblCellMar>
    </w:tblPr>
  </w:style>
  <w:style w:type="table" w:styleId="1343" w:customStyle="1">
    <w:name w:val="Lined - Accent 5"/>
    <w:uiPriority w:val="99"/>
    <w:qFormat/>
    <w:rPr>
      <w:color w:val="404040"/>
    </w:rPr>
    <w:tblPr>
      <w:tblCellMar>
        <w:left w:w="0" w:type="dxa"/>
        <w:top w:w="0" w:type="dxa"/>
        <w:right w:w="0" w:type="dxa"/>
        <w:bottom w:w="0" w:type="dxa"/>
      </w:tblCellMar>
    </w:tblPr>
  </w:style>
  <w:style w:type="table" w:styleId="1344" w:customStyle="1">
    <w:name w:val="List Table 5 Dark - Accent 5"/>
    <w:uiPriority w:val="99"/>
    <w:qFormat/>
    <w:tblPr>
      <w:tblCellMar>
        <w:left w:w="0" w:type="dxa"/>
        <w:top w:w="0" w:type="dxa"/>
        <w:right w:w="0" w:type="dxa"/>
        <w:bottom w:w="0" w:type="dxa"/>
      </w:tblCellMar>
    </w:tblPr>
  </w:style>
  <w:style w:type="table" w:styleId="1345" w:customStyle="1">
    <w:name w:val="Bordered &amp; Lined - Accent 4"/>
    <w:uiPriority w:val="99"/>
    <w:qFormat/>
    <w:rPr>
      <w:color w:val="404040"/>
    </w:rPr>
    <w:tblPr>
      <w:tblCellMar>
        <w:left w:w="0" w:type="dxa"/>
        <w:top w:w="0" w:type="dxa"/>
        <w:right w:w="0" w:type="dxa"/>
        <w:bottom w:w="0" w:type="dxa"/>
      </w:tblCellMar>
    </w:tblPr>
  </w:style>
  <w:style w:type="table" w:styleId="1346" w:customStyle="1">
    <w:name w:val="List Table 5 Dark - Accent 6"/>
    <w:uiPriority w:val="99"/>
    <w:qFormat/>
    <w:tblPr>
      <w:tblCellMar>
        <w:left w:w="0" w:type="dxa"/>
        <w:top w:w="0" w:type="dxa"/>
        <w:right w:w="0" w:type="dxa"/>
        <w:bottom w:w="0" w:type="dxa"/>
      </w:tblCellMar>
    </w:tblPr>
  </w:style>
  <w:style w:type="table" w:styleId="1347" w:customStyle="1">
    <w:name w:val="Bordered &amp; Lined - Accent 5"/>
    <w:uiPriority w:val="99"/>
    <w:qFormat/>
    <w:rPr>
      <w:color w:val="404040"/>
    </w:rPr>
    <w:tblPr>
      <w:tblCellMar>
        <w:left w:w="0" w:type="dxa"/>
        <w:top w:w="0" w:type="dxa"/>
        <w:right w:w="0" w:type="dxa"/>
        <w:bottom w:w="0" w:type="dxa"/>
      </w:tblCellMar>
    </w:tblPr>
  </w:style>
  <w:style w:type="table" w:styleId="1348" w:customStyle="1">
    <w:name w:val="清单表 6 彩色1"/>
    <w:uiPriority w:val="99"/>
    <w:qFormat/>
    <w:tblPr>
      <w:tblCellMar>
        <w:left w:w="0" w:type="dxa"/>
        <w:top w:w="0" w:type="dxa"/>
        <w:right w:w="0" w:type="dxa"/>
        <w:bottom w:w="0" w:type="dxa"/>
      </w:tblCellMar>
    </w:tblPr>
  </w:style>
  <w:style w:type="table" w:styleId="1349" w:customStyle="1">
    <w:name w:val="Bordered &amp; Lined - Accent 1"/>
    <w:uiPriority w:val="99"/>
    <w:qFormat/>
    <w:rPr>
      <w:color w:val="404040"/>
    </w:rPr>
    <w:tblPr>
      <w:tblCellMar>
        <w:left w:w="0" w:type="dxa"/>
        <w:top w:w="0" w:type="dxa"/>
        <w:right w:w="0" w:type="dxa"/>
        <w:bottom w:w="0" w:type="dxa"/>
      </w:tblCellMar>
    </w:tblPr>
  </w:style>
  <w:style w:type="table" w:styleId="1350" w:customStyle="1">
    <w:name w:val="List Table 6 Colorful - Accent 1"/>
    <w:uiPriority w:val="99"/>
    <w:qFormat/>
    <w:tblPr>
      <w:tblCellMar>
        <w:left w:w="0" w:type="dxa"/>
        <w:top w:w="0" w:type="dxa"/>
        <w:right w:w="0" w:type="dxa"/>
        <w:bottom w:w="0" w:type="dxa"/>
      </w:tblCellMar>
    </w:tblPr>
  </w:style>
  <w:style w:type="table" w:styleId="1351" w:customStyle="1">
    <w:name w:val="Bordered &amp; Lined - Accent 3"/>
    <w:uiPriority w:val="99"/>
    <w:qFormat/>
    <w:rPr>
      <w:color w:val="404040"/>
    </w:rPr>
    <w:tblPr>
      <w:tblCellMar>
        <w:left w:w="0" w:type="dxa"/>
        <w:top w:w="0" w:type="dxa"/>
        <w:right w:w="0" w:type="dxa"/>
        <w:bottom w:w="0" w:type="dxa"/>
      </w:tblCellMar>
    </w:tblPr>
  </w:style>
  <w:style w:type="table" w:styleId="1352" w:customStyle="1">
    <w:name w:val="List Table 6 Colorful - Accent 2"/>
    <w:uiPriority w:val="99"/>
    <w:qFormat/>
    <w:tblPr>
      <w:tblCellMar>
        <w:left w:w="0" w:type="dxa"/>
        <w:top w:w="0" w:type="dxa"/>
        <w:right w:w="0" w:type="dxa"/>
        <w:bottom w:w="0" w:type="dxa"/>
      </w:tblCellMar>
    </w:tblPr>
  </w:style>
  <w:style w:type="table" w:styleId="1353" w:customStyle="1">
    <w:name w:val="Bordered &amp; Lined - Accent 6"/>
    <w:uiPriority w:val="99"/>
    <w:qFormat/>
    <w:rPr>
      <w:color w:val="404040"/>
    </w:rPr>
    <w:tblPr>
      <w:tblCellMar>
        <w:left w:w="0" w:type="dxa"/>
        <w:top w:w="0" w:type="dxa"/>
        <w:right w:w="0" w:type="dxa"/>
        <w:bottom w:w="0" w:type="dxa"/>
      </w:tblCellMar>
    </w:tblPr>
  </w:style>
  <w:style w:type="table" w:styleId="1354" w:customStyle="1">
    <w:name w:val="Bordered"/>
    <w:uiPriority w:val="99"/>
    <w:qFormat/>
    <w:tblPr>
      <w:tblCellMar>
        <w:left w:w="0" w:type="dxa"/>
        <w:top w:w="0" w:type="dxa"/>
        <w:right w:w="0" w:type="dxa"/>
        <w:bottom w:w="0" w:type="dxa"/>
      </w:tblCellMar>
    </w:tblPr>
  </w:style>
  <w:style w:type="table" w:styleId="1355" w:customStyle="1">
    <w:name w:val="Bordered - Accent 1"/>
    <w:uiPriority w:val="99"/>
    <w:qFormat/>
    <w:tblPr>
      <w:tblCellMar>
        <w:left w:w="0" w:type="dxa"/>
        <w:top w:w="0" w:type="dxa"/>
        <w:right w:w="0" w:type="dxa"/>
        <w:bottom w:w="0" w:type="dxa"/>
      </w:tblCellMar>
    </w:tblPr>
  </w:style>
  <w:style w:type="table" w:styleId="1356" w:customStyle="1">
    <w:name w:val="Bordered - Accent 2"/>
    <w:uiPriority w:val="99"/>
    <w:qFormat/>
    <w:tblPr>
      <w:tblCellMar>
        <w:left w:w="0" w:type="dxa"/>
        <w:top w:w="0" w:type="dxa"/>
        <w:right w:w="0" w:type="dxa"/>
        <w:bottom w:w="0" w:type="dxa"/>
      </w:tblCellMar>
    </w:tblPr>
  </w:style>
  <w:style w:type="table" w:styleId="1357" w:customStyle="1">
    <w:name w:val="Bordered - Accent 3"/>
    <w:uiPriority w:val="99"/>
    <w:qFormat/>
    <w:tblPr>
      <w:tblCellMar>
        <w:left w:w="0" w:type="dxa"/>
        <w:top w:w="0" w:type="dxa"/>
        <w:right w:w="0" w:type="dxa"/>
        <w:bottom w:w="0" w:type="dxa"/>
      </w:tblCellMar>
    </w:tblPr>
  </w:style>
  <w:style w:type="table" w:styleId="1358" w:customStyle="1">
    <w:name w:val="Bordered - Accent 4"/>
    <w:uiPriority w:val="99"/>
    <w:qFormat/>
    <w:tblPr>
      <w:tblCellMar>
        <w:left w:w="0" w:type="dxa"/>
        <w:top w:w="0" w:type="dxa"/>
        <w:right w:w="0" w:type="dxa"/>
        <w:bottom w:w="0" w:type="dxa"/>
      </w:tblCellMar>
    </w:tblPr>
  </w:style>
  <w:style w:type="table" w:styleId="1359" w:customStyle="1">
    <w:name w:val="Bordered - Accent 5"/>
    <w:uiPriority w:val="99"/>
    <w:qFormat/>
    <w:tblPr>
      <w:tblCellMar>
        <w:left w:w="0" w:type="dxa"/>
        <w:top w:w="0" w:type="dxa"/>
        <w:right w:w="0" w:type="dxa"/>
        <w:bottom w:w="0" w:type="dxa"/>
      </w:tblCellMar>
    </w:tblPr>
  </w:style>
  <w:style w:type="table" w:styleId="1360" w:customStyle="1">
    <w:name w:val="Bordered - Accent 6"/>
    <w:uiPriority w:val="99"/>
    <w:qFormat/>
    <w:tblPr>
      <w:tblCellMar>
        <w:left w:w="0" w:type="dxa"/>
        <w:top w:w="0" w:type="dxa"/>
        <w:right w:w="0" w:type="dxa"/>
        <w:bottom w:w="0" w:type="dxa"/>
      </w:tblCellMar>
    </w:tblPr>
  </w:style>
  <w:style w:type="table" w:styleId="1361" w:customStyle="1">
    <w:name w:val="普通表格1"/>
    <w:uiPriority w:val="99"/>
    <w:unhideWhenUsed/>
    <w:qFormat/>
    <w:tblPr>
      <w:tblCellMar>
        <w:left w:w="0" w:type="dxa"/>
        <w:top w:w="0" w:type="dxa"/>
        <w:right w:w="0" w:type="dxa"/>
        <w:bottom w:w="0" w:type="dxa"/>
      </w:tblCellMar>
    </w:tblPr>
  </w:style>
  <w:style w:type="table" w:styleId="1362" w:customStyle="1">
    <w:name w:val="网格型1"/>
    <w:basedOn w:val="1361"/>
    <w:uiPriority w:val="59"/>
    <w:qFormat/>
    <w:rPr>
      <w:rFonts w:ascii="Calibri" w:hAnsi="Calibri"/>
      <w:sz w:val="21"/>
      <w:szCs w:val="22"/>
    </w:rPr>
    <w:tblPr>
      <w:tblCellMar>
        <w:left w:w="0" w:type="dxa"/>
        <w:top w:w="0" w:type="dxa"/>
        <w:right w:w="0" w:type="dxa"/>
        <w:bottom w:w="0" w:type="dxa"/>
      </w:tblCellMar>
    </w:tblPr>
  </w:style>
  <w:style w:type="table" w:styleId="1363" w:customStyle="1">
    <w:name w:val="网格型6"/>
    <w:basedOn w:val="1104"/>
    <w:uiPriority w:val="99"/>
    <w:unhideWhenUsed/>
    <w:qFormat/>
    <w:rPr>
      <w:rFonts w:eastAsia="Times New Roman"/>
    </w:rPr>
    <w:tblPr>
      <w:tblCellMar>
        <w:left w:w="0" w:type="dxa"/>
        <w:top w:w="0" w:type="dxa"/>
        <w:right w:w="0" w:type="dxa"/>
        <w:bottom w:w="0" w:type="dxa"/>
      </w:tblCellMar>
    </w:tblPr>
  </w:style>
  <w:style w:type="table" w:styleId="1364"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1365" w:customStyle="1">
    <w:name w:val="NormalCharacter"/>
    <w:link w:val="1153"/>
    <w:uiPriority w:val="0"/>
    <w:semiHidden/>
    <w:qFormat/>
    <w:rPr>
      <w:rFonts w:hint="default" w:ascii="Times New Roman" w:hAnsi="Times New Roman" w:eastAsia="宋体" w:cs="Times New Roman"/>
      <w:sz w:val="21"/>
      <w:szCs w:val="24"/>
      <w:lang w:val="en-US" w:eastAsia="zh-CN" w:bidi="ar-SA"/>
    </w:rPr>
  </w:style>
  <w:style w:type="character" w:styleId="1366" w:customStyle="1">
    <w:name w:val="16"/>
    <w:basedOn w:val="1181"/>
    <w:uiPriority w:val="0"/>
    <w:qFormat/>
    <w:rPr>
      <w:rFonts w:hint="default" w:ascii="Times New Roman" w:hAnsi="Times New Roman" w:eastAsia="宋体" w:cs="Times New Roman"/>
      <w:sz w:val="21"/>
      <w:szCs w:val="24"/>
      <w:lang w:val="en-US" w:eastAsia="zh-CN" w:bidi="ar-SA"/>
    </w:rPr>
  </w:style>
  <w:style w:type="numbering" w:styleId="13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 Id="rId23" Type="http://schemas.openxmlformats.org/officeDocument/2006/relationships/image" Target="media/image2.jpg"/><Relationship Id="rId2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夏海燕</cp:lastModifiedBy>
  <cp:revision>19</cp:revision>
  <dcterms:created xsi:type="dcterms:W3CDTF">2014-10-30T04:08:00Z</dcterms:created>
  <dcterms:modified xsi:type="dcterms:W3CDTF">2025-12-30T02:49:49Z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88B973AE268844B8A40AFEF3356D8C59_13</vt:lpwstr>
  </property>
  <property fmtid="{D5CDD505-2E9C-101B-9397-08002B2CF9AE}" pid="4" name="KSOTemplateDocerSaveRecord">
    <vt:lpwstr>eyJoZGlkIjoiNGE3NTRiNjhkNzA3NzAwMzE5Mjk4NWQ4ZGU1MjM4NDEiLCJ1c2VySWQiOiI0ODkyMzMxMDQifQ==</vt:lpwstr>
  </property>
</Properties>
</file>